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384" w:rsidRDefault="00740384" w:rsidP="007100F8">
      <w:pPr>
        <w:rPr>
          <w:rFonts w:ascii="Arial" w:hAnsi="Arial" w:cs="Arial"/>
          <w:b/>
          <w:sz w:val="48"/>
          <w:szCs w:val="48"/>
        </w:rPr>
      </w:pPr>
      <w:bookmarkStart w:id="0" w:name="_Toc153189646"/>
    </w:p>
    <w:p w:rsidR="003E6DF6" w:rsidRDefault="003E6DF6" w:rsidP="003E6DF6">
      <w:pPr>
        <w:ind w:left="2160"/>
        <w:rPr>
          <w:rFonts w:ascii="Arial" w:hAnsi="Arial" w:cs="Arial"/>
          <w:b/>
          <w:sz w:val="40"/>
          <w:szCs w:val="40"/>
        </w:rPr>
      </w:pPr>
      <w:r>
        <w:rPr>
          <w:rFonts w:ascii="Arial" w:hAnsi="Arial" w:cs="Arial"/>
          <w:b/>
          <w:sz w:val="40"/>
          <w:szCs w:val="40"/>
        </w:rPr>
        <w:t xml:space="preserve">           </w:t>
      </w:r>
      <w:r w:rsidR="00A47FE3" w:rsidRPr="003E6DF6">
        <w:rPr>
          <w:rFonts w:ascii="Arial" w:hAnsi="Arial" w:cs="Arial"/>
          <w:b/>
          <w:sz w:val="40"/>
          <w:szCs w:val="40"/>
        </w:rPr>
        <w:t xml:space="preserve">Work Paper </w:t>
      </w:r>
      <w:bookmarkEnd w:id="0"/>
      <w:r w:rsidR="00A47FE3" w:rsidRPr="003E6DF6">
        <w:rPr>
          <w:rFonts w:ascii="Arial" w:hAnsi="Arial" w:cs="Arial"/>
          <w:b/>
          <w:sz w:val="40"/>
          <w:szCs w:val="40"/>
        </w:rPr>
        <w:t>PGECOLTG</w:t>
      </w:r>
      <w:r w:rsidR="005E3E29" w:rsidRPr="003E6DF6">
        <w:rPr>
          <w:rFonts w:ascii="Arial" w:hAnsi="Arial" w:cs="Arial"/>
          <w:b/>
          <w:sz w:val="40"/>
          <w:szCs w:val="40"/>
        </w:rPr>
        <w:t>15</w:t>
      </w:r>
      <w:r w:rsidR="005C1C8A" w:rsidRPr="003E6DF6">
        <w:rPr>
          <w:rFonts w:ascii="Arial" w:hAnsi="Arial" w:cs="Arial"/>
          <w:b/>
          <w:sz w:val="40"/>
          <w:szCs w:val="40"/>
        </w:rPr>
        <w:t>1</w:t>
      </w:r>
      <w:r>
        <w:rPr>
          <w:rFonts w:ascii="Arial" w:hAnsi="Arial" w:cs="Arial"/>
          <w:b/>
          <w:sz w:val="40"/>
          <w:szCs w:val="40"/>
        </w:rPr>
        <w:t xml:space="preserve"> </w:t>
      </w:r>
    </w:p>
    <w:p w:rsidR="000B0167" w:rsidRPr="003E6DF6" w:rsidRDefault="003E6DF6" w:rsidP="003E6DF6">
      <w:pPr>
        <w:rPr>
          <w:rFonts w:ascii="Arial" w:hAnsi="Arial" w:cs="Arial"/>
          <w:b/>
          <w:sz w:val="40"/>
          <w:szCs w:val="40"/>
        </w:rPr>
      </w:pPr>
      <w:r>
        <w:rPr>
          <w:rFonts w:ascii="Arial" w:hAnsi="Arial" w:cs="Arial"/>
          <w:b/>
          <w:sz w:val="40"/>
          <w:szCs w:val="40"/>
        </w:rPr>
        <w:t xml:space="preserve">            </w:t>
      </w:r>
      <w:r w:rsidR="00A47FE3" w:rsidRPr="003E6DF6">
        <w:rPr>
          <w:rFonts w:ascii="Arial" w:hAnsi="Arial" w:cs="Arial"/>
          <w:b/>
          <w:sz w:val="40"/>
          <w:szCs w:val="40"/>
        </w:rPr>
        <w:t>LED Outdoor Street and Area</w:t>
      </w:r>
      <w:r>
        <w:rPr>
          <w:rFonts w:ascii="Arial" w:hAnsi="Arial" w:cs="Arial"/>
          <w:b/>
          <w:sz w:val="40"/>
          <w:szCs w:val="40"/>
        </w:rPr>
        <w:t xml:space="preserve"> </w:t>
      </w:r>
      <w:r w:rsidRPr="003E6DF6">
        <w:rPr>
          <w:rFonts w:ascii="Arial" w:hAnsi="Arial" w:cs="Arial"/>
          <w:b/>
          <w:sz w:val="40"/>
          <w:szCs w:val="40"/>
        </w:rPr>
        <w:t>L</w:t>
      </w:r>
      <w:r w:rsidR="005E3E29" w:rsidRPr="003E6DF6">
        <w:rPr>
          <w:rFonts w:ascii="Arial" w:hAnsi="Arial" w:cs="Arial"/>
          <w:b/>
          <w:sz w:val="40"/>
          <w:szCs w:val="40"/>
        </w:rPr>
        <w:t>ighting</w:t>
      </w:r>
    </w:p>
    <w:p w:rsidR="000B0167" w:rsidRPr="008A1DA4" w:rsidRDefault="003E6DF6" w:rsidP="00E446FB">
      <w:pPr>
        <w:ind w:left="5040" w:firstLine="720"/>
        <w:jc w:val="right"/>
        <w:rPr>
          <w:rFonts w:ascii="Arial" w:hAnsi="Arial" w:cs="Arial"/>
          <w:b/>
          <w:sz w:val="48"/>
          <w:szCs w:val="48"/>
        </w:rPr>
      </w:pPr>
      <w:bookmarkStart w:id="1" w:name="_Toc153189647"/>
      <w:r>
        <w:rPr>
          <w:rFonts w:ascii="Arial" w:hAnsi="Arial" w:cs="Arial"/>
          <w:b/>
          <w:sz w:val="40"/>
          <w:szCs w:val="40"/>
        </w:rPr>
        <w:t xml:space="preserve">    </w:t>
      </w:r>
      <w:r w:rsidR="00A47FE3" w:rsidRPr="003E6DF6">
        <w:rPr>
          <w:rFonts w:ascii="Arial" w:hAnsi="Arial" w:cs="Arial"/>
          <w:b/>
          <w:sz w:val="40"/>
          <w:szCs w:val="40"/>
        </w:rPr>
        <w:t xml:space="preserve">Revision </w:t>
      </w:r>
      <w:bookmarkEnd w:id="1"/>
      <w:r w:rsidR="00E446FB">
        <w:rPr>
          <w:rFonts w:ascii="Arial" w:hAnsi="Arial" w:cs="Arial"/>
          <w:b/>
          <w:sz w:val="40"/>
          <w:szCs w:val="40"/>
        </w:rPr>
        <w:t>5</w:t>
      </w:r>
    </w:p>
    <w:p w:rsidR="000B0167" w:rsidRPr="008A1DA4" w:rsidRDefault="000B0167" w:rsidP="007100F8"/>
    <w:p w:rsidR="000B0167" w:rsidRPr="008A1DA4" w:rsidRDefault="000B0167" w:rsidP="007100F8">
      <w:pPr>
        <w:pBdr>
          <w:bottom w:val="single" w:sz="4" w:space="1" w:color="auto"/>
        </w:pBdr>
        <w:rPr>
          <w:rFonts w:ascii="Arial" w:hAnsi="Arial" w:cs="Arial"/>
          <w:b/>
          <w:sz w:val="36"/>
          <w:szCs w:val="36"/>
        </w:rPr>
      </w:pPr>
    </w:p>
    <w:p w:rsidR="000B0167" w:rsidRPr="008A1DA4" w:rsidRDefault="00A47FE3" w:rsidP="007100F8">
      <w:pPr>
        <w:pBdr>
          <w:bottom w:val="single" w:sz="4" w:space="1" w:color="auto"/>
        </w:pBdr>
        <w:rPr>
          <w:rFonts w:ascii="Arial" w:hAnsi="Arial" w:cs="Arial"/>
          <w:b/>
          <w:sz w:val="36"/>
          <w:szCs w:val="36"/>
        </w:rPr>
      </w:pPr>
      <w:r w:rsidRPr="008A1DA4">
        <w:rPr>
          <w:rFonts w:ascii="Arial" w:hAnsi="Arial" w:cs="Arial"/>
          <w:b/>
          <w:sz w:val="36"/>
          <w:szCs w:val="36"/>
        </w:rPr>
        <w:t>Pacific Gas &amp; Electric Company</w:t>
      </w:r>
    </w:p>
    <w:p w:rsidR="000B0167" w:rsidRPr="008A1DA4" w:rsidRDefault="009C2AFF" w:rsidP="007100F8">
      <w:pPr>
        <w:rPr>
          <w:rFonts w:ascii="Arial" w:hAnsi="Arial" w:cs="Arial"/>
          <w:b/>
          <w:sz w:val="32"/>
          <w:szCs w:val="32"/>
        </w:rPr>
      </w:pPr>
      <w:r>
        <w:rPr>
          <w:rFonts w:ascii="Arial" w:hAnsi="Arial" w:cs="Arial"/>
          <w:b/>
          <w:sz w:val="32"/>
          <w:szCs w:val="32"/>
        </w:rPr>
        <w:t>Customer Energy Solutions</w:t>
      </w:r>
      <w:r w:rsidR="00A47FE3" w:rsidRPr="008A1DA4">
        <w:rPr>
          <w:rFonts w:ascii="Arial" w:hAnsi="Arial" w:cs="Arial"/>
          <w:b/>
          <w:sz w:val="32"/>
          <w:szCs w:val="32"/>
        </w:rPr>
        <w:t xml:space="preserve"> Department</w:t>
      </w:r>
    </w:p>
    <w:p w:rsidR="000B0167" w:rsidRPr="008A1DA4" w:rsidRDefault="000B0167" w:rsidP="007100F8"/>
    <w:p w:rsidR="000B0167" w:rsidRPr="008A1DA4" w:rsidRDefault="000B0167" w:rsidP="007100F8">
      <w:pPr>
        <w:ind w:right="-720"/>
        <w:rPr>
          <w:rFonts w:ascii="Arial" w:hAnsi="Arial" w:cs="Arial"/>
          <w:b/>
          <w:sz w:val="72"/>
          <w:szCs w:val="72"/>
        </w:rPr>
      </w:pPr>
    </w:p>
    <w:p w:rsidR="000B0167" w:rsidRPr="008A1DA4" w:rsidRDefault="000B0167" w:rsidP="007100F8">
      <w:pPr>
        <w:ind w:right="-720"/>
        <w:rPr>
          <w:rFonts w:ascii="Arial" w:hAnsi="Arial" w:cs="Arial"/>
          <w:b/>
          <w:sz w:val="72"/>
          <w:szCs w:val="72"/>
        </w:rPr>
      </w:pPr>
    </w:p>
    <w:p w:rsidR="000B0167" w:rsidRPr="008A1DA4" w:rsidRDefault="00A47FE3" w:rsidP="007100F8">
      <w:pPr>
        <w:ind w:right="-720"/>
        <w:rPr>
          <w:rFonts w:ascii="Arial" w:hAnsi="Arial" w:cs="Arial"/>
          <w:b/>
        </w:rPr>
      </w:pPr>
      <w:r w:rsidRPr="008A1DA4">
        <w:rPr>
          <w:rFonts w:ascii="Arial" w:hAnsi="Arial" w:cs="Arial"/>
          <w:b/>
          <w:sz w:val="72"/>
          <w:szCs w:val="72"/>
        </w:rPr>
        <w:t>LED Outdoor Street and Area Lighting</w:t>
      </w:r>
      <w:r w:rsidRPr="008A1DA4">
        <w:rPr>
          <w:rFonts w:ascii="Arial" w:hAnsi="Arial" w:cs="Arial"/>
          <w:b/>
          <w:highlight w:val="cyan"/>
        </w:rPr>
        <w:t xml:space="preserve"> </w:t>
      </w:r>
    </w:p>
    <w:p w:rsidR="00A47FE3" w:rsidRPr="008A1DA4" w:rsidRDefault="00A47FE3" w:rsidP="007100F8">
      <w:pPr>
        <w:ind w:right="-720"/>
        <w:rPr>
          <w:rFonts w:ascii="Arial" w:hAnsi="Arial" w:cs="Arial"/>
          <w:b/>
        </w:rPr>
        <w:sectPr w:rsidR="00A47FE3" w:rsidRPr="008A1DA4">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r w:rsidRPr="008A1DA4">
        <w:rPr>
          <w:rFonts w:ascii="Arial" w:hAnsi="Arial" w:cs="Arial"/>
          <w:b/>
        </w:rPr>
        <w:t>Measure Codes</w:t>
      </w:r>
      <w:r w:rsidR="000302B8" w:rsidRPr="008A1DA4">
        <w:rPr>
          <w:rFonts w:ascii="Arial" w:hAnsi="Arial" w:cs="Arial"/>
          <w:b/>
        </w:rPr>
        <w:t xml:space="preserve">: </w:t>
      </w:r>
      <w:r w:rsidR="00CB6C52" w:rsidRPr="00D10407">
        <w:rPr>
          <w:rFonts w:ascii="Arial" w:hAnsi="Arial" w:cs="Arial"/>
          <w:b/>
        </w:rPr>
        <w:t>LT007</w:t>
      </w:r>
      <w:r w:rsidR="00B540EE" w:rsidRPr="00D10407">
        <w:rPr>
          <w:rFonts w:ascii="Arial" w:hAnsi="Arial" w:cs="Arial"/>
          <w:b/>
        </w:rPr>
        <w:t xml:space="preserve"> </w:t>
      </w:r>
      <w:r w:rsidR="00CB6C52" w:rsidRPr="00D10407">
        <w:rPr>
          <w:rFonts w:ascii="Arial" w:hAnsi="Arial" w:cs="Arial"/>
          <w:b/>
        </w:rPr>
        <w:t>-LT02</w:t>
      </w:r>
      <w:r w:rsidR="00B540EE">
        <w:rPr>
          <w:rFonts w:ascii="Arial" w:hAnsi="Arial" w:cs="Arial"/>
          <w:b/>
        </w:rPr>
        <w:t>4</w:t>
      </w:r>
    </w:p>
    <w:p w:rsidR="00A47FE3" w:rsidRPr="008A1DA4" w:rsidRDefault="00A47FE3">
      <w:pPr>
        <w:pStyle w:val="Heading1"/>
      </w:pPr>
      <w:bookmarkStart w:id="2" w:name="_Toc438469082"/>
      <w:r w:rsidRPr="008A1DA4">
        <w:lastRenderedPageBreak/>
        <w:t>At-</w:t>
      </w:r>
      <w:r w:rsidR="00AD7A78" w:rsidRPr="008A1DA4">
        <w:t>A</w:t>
      </w:r>
      <w:r w:rsidRPr="008A1DA4">
        <w:t>-Glance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A47FE3" w:rsidRPr="008A1DA4">
        <w:trPr>
          <w:trHeight w:val="465"/>
        </w:trPr>
        <w:tc>
          <w:tcPr>
            <w:tcW w:w="4161" w:type="dxa"/>
            <w:shd w:val="pct20" w:color="000000" w:fill="FFFFFF"/>
          </w:tcPr>
          <w:p w:rsidR="00A47FE3" w:rsidRPr="008A1DA4" w:rsidRDefault="00A47FE3" w:rsidP="007100F8">
            <w:pPr>
              <w:rPr>
                <w:b/>
              </w:rPr>
            </w:pPr>
            <w:r w:rsidRPr="008A1DA4">
              <w:rPr>
                <w:b/>
              </w:rPr>
              <w:t>Applicable Measure Codes:</w:t>
            </w:r>
          </w:p>
        </w:tc>
        <w:tc>
          <w:tcPr>
            <w:tcW w:w="5487" w:type="dxa"/>
            <w:shd w:val="pct20" w:color="000000" w:fill="FFFFFF"/>
          </w:tcPr>
          <w:p w:rsidR="00A47FE3" w:rsidRPr="008A1DA4" w:rsidRDefault="005F63CB" w:rsidP="005E5886">
            <w:pPr>
              <w:rPr>
                <w:sz w:val="20"/>
                <w:szCs w:val="20"/>
              </w:rPr>
            </w:pPr>
            <w:r w:rsidRPr="008A1DA4">
              <w:rPr>
                <w:sz w:val="20"/>
                <w:szCs w:val="20"/>
              </w:rPr>
              <w:t>L</w:t>
            </w:r>
            <w:r w:rsidR="00092313">
              <w:rPr>
                <w:sz w:val="20"/>
                <w:szCs w:val="20"/>
              </w:rPr>
              <w:t>T007-LT02</w:t>
            </w:r>
            <w:r w:rsidR="005E5886">
              <w:rPr>
                <w:sz w:val="20"/>
                <w:szCs w:val="20"/>
              </w:rPr>
              <w:t>4</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Measure Description: </w:t>
            </w:r>
          </w:p>
        </w:tc>
        <w:tc>
          <w:tcPr>
            <w:tcW w:w="5487" w:type="dxa"/>
            <w:shd w:val="pct5" w:color="000000" w:fill="FFFFFF"/>
          </w:tcPr>
          <w:p w:rsidR="00A47FE3" w:rsidRPr="008A1DA4" w:rsidRDefault="00333D88" w:rsidP="00C94ADB">
            <w:pPr>
              <w:rPr>
                <w:sz w:val="20"/>
                <w:szCs w:val="20"/>
              </w:rPr>
            </w:pPr>
            <w:r w:rsidRPr="008A1DA4">
              <w:rPr>
                <w:sz w:val="20"/>
                <w:szCs w:val="20"/>
              </w:rPr>
              <w:t xml:space="preserve">Replacement of exterior HID fixtures with LED </w:t>
            </w:r>
            <w:r w:rsidR="00B32426" w:rsidRPr="008A1DA4">
              <w:rPr>
                <w:sz w:val="20"/>
                <w:szCs w:val="20"/>
              </w:rPr>
              <w:t>luminaires</w:t>
            </w:r>
            <w:r w:rsidRPr="008A1DA4">
              <w:rPr>
                <w:sz w:val="20"/>
                <w:szCs w:val="20"/>
              </w:rPr>
              <w:t xml:space="preserve"> in </w:t>
            </w:r>
            <w:r w:rsidR="00B32426" w:rsidRPr="008A1DA4">
              <w:rPr>
                <w:sz w:val="20"/>
                <w:szCs w:val="20"/>
              </w:rPr>
              <w:t>street and</w:t>
            </w:r>
            <w:r w:rsidR="00C94ADB" w:rsidRPr="008A1DA4">
              <w:rPr>
                <w:sz w:val="20"/>
                <w:szCs w:val="20"/>
              </w:rPr>
              <w:t xml:space="preserve"> outdoor</w:t>
            </w:r>
            <w:r w:rsidR="00B32426" w:rsidRPr="008A1DA4">
              <w:rPr>
                <w:sz w:val="20"/>
                <w:szCs w:val="20"/>
              </w:rPr>
              <w:t xml:space="preserve"> </w:t>
            </w:r>
            <w:r w:rsidRPr="008A1DA4">
              <w:rPr>
                <w:sz w:val="20"/>
                <w:szCs w:val="20"/>
              </w:rPr>
              <w:t>area applications.</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 xml:space="preserve">Energy Impact Common Units: </w:t>
            </w:r>
          </w:p>
        </w:tc>
        <w:tc>
          <w:tcPr>
            <w:tcW w:w="5487" w:type="dxa"/>
            <w:shd w:val="pct20" w:color="000000" w:fill="FFFFFF"/>
          </w:tcPr>
          <w:p w:rsidR="00A47FE3" w:rsidRPr="008A1DA4" w:rsidRDefault="00333D88" w:rsidP="007100F8">
            <w:pPr>
              <w:rPr>
                <w:sz w:val="20"/>
                <w:szCs w:val="20"/>
              </w:rPr>
            </w:pPr>
            <w:r w:rsidRPr="008A1DA4">
              <w:rPr>
                <w:sz w:val="20"/>
                <w:szCs w:val="20"/>
              </w:rPr>
              <w:t>Per fixture.</w:t>
            </w:r>
            <w:r w:rsidR="00A47FE3" w:rsidRPr="008A1DA4">
              <w:rPr>
                <w:sz w:val="20"/>
                <w:szCs w:val="20"/>
              </w:rPr>
              <w:t xml:space="preserve"> </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Base Case Description:</w:t>
            </w:r>
          </w:p>
        </w:tc>
        <w:tc>
          <w:tcPr>
            <w:tcW w:w="5487" w:type="dxa"/>
            <w:shd w:val="pct5" w:color="000000" w:fill="FFFFFF"/>
          </w:tcPr>
          <w:p w:rsidR="000B0167" w:rsidRPr="008A1DA4" w:rsidRDefault="00B32426" w:rsidP="007100F8">
            <w:pPr>
              <w:rPr>
                <w:sz w:val="20"/>
                <w:szCs w:val="20"/>
              </w:rPr>
            </w:pPr>
            <w:r w:rsidRPr="008A1DA4">
              <w:rPr>
                <w:sz w:val="20"/>
                <w:szCs w:val="20"/>
              </w:rPr>
              <w:t xml:space="preserve">Pole-mounted </w:t>
            </w:r>
            <w:r w:rsidR="00BB0FBE" w:rsidRPr="008A1DA4">
              <w:rPr>
                <w:sz w:val="20"/>
                <w:szCs w:val="20"/>
              </w:rPr>
              <w:t xml:space="preserve">HID </w:t>
            </w:r>
            <w:r w:rsidR="004622FE" w:rsidRPr="008A1DA4">
              <w:rPr>
                <w:sz w:val="20"/>
                <w:szCs w:val="20"/>
              </w:rPr>
              <w:t>street</w:t>
            </w:r>
            <w:r w:rsidRPr="008A1DA4">
              <w:rPr>
                <w:sz w:val="20"/>
                <w:szCs w:val="20"/>
              </w:rPr>
              <w:t xml:space="preserve"> and are</w:t>
            </w:r>
            <w:r w:rsidR="00EB4A5A" w:rsidRPr="008A1DA4">
              <w:rPr>
                <w:sz w:val="20"/>
                <w:szCs w:val="20"/>
              </w:rPr>
              <w:t>a</w:t>
            </w:r>
            <w:r w:rsidRPr="008A1DA4">
              <w:rPr>
                <w:sz w:val="20"/>
                <w:szCs w:val="20"/>
              </w:rPr>
              <w:t xml:space="preserve"> light fixtures</w:t>
            </w:r>
            <w:r w:rsidR="00BB0FBE" w:rsidRPr="008A1DA4">
              <w:rPr>
                <w:sz w:val="20"/>
                <w:szCs w:val="20"/>
              </w:rPr>
              <w:t xml:space="preserve"> </w:t>
            </w:r>
            <w:r w:rsidR="00BB0FBE" w:rsidRPr="007732F4">
              <w:rPr>
                <w:sz w:val="20"/>
                <w:szCs w:val="20"/>
              </w:rPr>
              <w:t>as well as wall</w:t>
            </w:r>
            <w:r w:rsidR="00740384" w:rsidRPr="007732F4">
              <w:rPr>
                <w:sz w:val="20"/>
                <w:szCs w:val="20"/>
              </w:rPr>
              <w:t>-</w:t>
            </w:r>
            <w:r w:rsidR="00BB0FBE" w:rsidRPr="007732F4">
              <w:rPr>
                <w:sz w:val="20"/>
                <w:szCs w:val="20"/>
              </w:rPr>
              <w:t>mounted HID area light fixtures</w:t>
            </w:r>
            <w:r w:rsidR="004622FE" w:rsidRPr="007732F4">
              <w:rPr>
                <w:sz w:val="20"/>
                <w:szCs w:val="20"/>
              </w:rPr>
              <w:t>.</w:t>
            </w:r>
          </w:p>
          <w:p w:rsidR="000B0167" w:rsidRPr="008A1DA4" w:rsidRDefault="000B0167" w:rsidP="007100F8">
            <w:pPr>
              <w:rPr>
                <w:sz w:val="20"/>
                <w:szCs w:val="20"/>
              </w:rPr>
            </w:pPr>
          </w:p>
          <w:p w:rsidR="00A47FE3" w:rsidRPr="008A1DA4" w:rsidRDefault="00A47FE3" w:rsidP="007100F8">
            <w:pPr>
              <w:rPr>
                <w:sz w:val="20"/>
                <w:szCs w:val="20"/>
              </w:rPr>
            </w:pPr>
            <w:r w:rsidRPr="008A1DA4">
              <w:rPr>
                <w:sz w:val="20"/>
                <w:szCs w:val="20"/>
              </w:rPr>
              <w:t>Source:  PG&amp;E Calculations</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 xml:space="preserve">Base Case Energy Consumption: </w:t>
            </w:r>
          </w:p>
        </w:tc>
        <w:tc>
          <w:tcPr>
            <w:tcW w:w="5487" w:type="dxa"/>
            <w:shd w:val="pct20" w:color="000000" w:fill="FFFFFF"/>
          </w:tcPr>
          <w:p w:rsidR="00A47FE3" w:rsidRDefault="00A561F7" w:rsidP="007100F8">
            <w:pPr>
              <w:rPr>
                <w:sz w:val="20"/>
                <w:szCs w:val="20"/>
              </w:rPr>
            </w:pPr>
            <w:r>
              <w:rPr>
                <w:sz w:val="20"/>
                <w:szCs w:val="20"/>
              </w:rPr>
              <w:t>Base case is assumed to be a metal halide fixture.</w:t>
            </w:r>
          </w:p>
          <w:p w:rsidR="00A561F7" w:rsidRDefault="00A561F7" w:rsidP="007100F8">
            <w:pPr>
              <w:rPr>
                <w:sz w:val="20"/>
                <w:szCs w:val="20"/>
              </w:rPr>
            </w:pPr>
          </w:p>
          <w:p w:rsidR="00A561F7" w:rsidRPr="008A1DA4" w:rsidRDefault="00A561F7" w:rsidP="007100F8">
            <w:pPr>
              <w:rPr>
                <w:sz w:val="20"/>
                <w:szCs w:val="20"/>
              </w:rPr>
            </w:pPr>
            <w:r w:rsidRPr="008A1DA4">
              <w:rPr>
                <w:sz w:val="20"/>
                <w:szCs w:val="20"/>
              </w:rPr>
              <w:t>Source:  PG&amp;E Calculations</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Measure Energy Consumption:</w:t>
            </w:r>
          </w:p>
        </w:tc>
        <w:tc>
          <w:tcPr>
            <w:tcW w:w="5487" w:type="dxa"/>
            <w:shd w:val="pct5" w:color="000000" w:fill="FFFFFF"/>
          </w:tcPr>
          <w:p w:rsidR="005E5886" w:rsidRDefault="005E5886" w:rsidP="007100F8">
            <w:pPr>
              <w:rPr>
                <w:sz w:val="20"/>
                <w:szCs w:val="20"/>
              </w:rPr>
            </w:pPr>
          </w:p>
          <w:p w:rsidR="00A47FE3" w:rsidRPr="008A1DA4" w:rsidRDefault="00A47FE3" w:rsidP="007100F8">
            <w:pPr>
              <w:rPr>
                <w:sz w:val="20"/>
                <w:szCs w:val="20"/>
              </w:rPr>
            </w:pPr>
            <w:r w:rsidRPr="008A1DA4">
              <w:rPr>
                <w:sz w:val="20"/>
                <w:szCs w:val="20"/>
              </w:rPr>
              <w:t>Source:  PG&amp;E Calculations</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Energy Savings (Base Case – Measure)</w:t>
            </w:r>
          </w:p>
        </w:tc>
        <w:tc>
          <w:tcPr>
            <w:tcW w:w="5487" w:type="dxa"/>
            <w:shd w:val="pct20" w:color="000000" w:fill="FFFFFF"/>
          </w:tcPr>
          <w:p w:rsidR="000B0167" w:rsidRPr="008A1DA4" w:rsidRDefault="000B0167" w:rsidP="007100F8">
            <w:pPr>
              <w:rPr>
                <w:sz w:val="20"/>
                <w:szCs w:val="20"/>
              </w:rPr>
            </w:pPr>
          </w:p>
          <w:p w:rsidR="00A47FE3" w:rsidRPr="008A1DA4" w:rsidRDefault="00A47FE3" w:rsidP="007100F8">
            <w:pPr>
              <w:rPr>
                <w:sz w:val="20"/>
                <w:szCs w:val="20"/>
              </w:rPr>
            </w:pPr>
            <w:r w:rsidRPr="008A1DA4">
              <w:rPr>
                <w:sz w:val="20"/>
                <w:szCs w:val="20"/>
              </w:rPr>
              <w:t>Source:  PG&amp;E Calculations</w:t>
            </w:r>
            <w:r w:rsidR="004622FE" w:rsidRPr="008A1DA4">
              <w:rPr>
                <w:sz w:val="20"/>
                <w:szCs w:val="20"/>
              </w:rPr>
              <w:t>.</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Costs Common Units: </w:t>
            </w:r>
          </w:p>
        </w:tc>
        <w:tc>
          <w:tcPr>
            <w:tcW w:w="5487" w:type="dxa"/>
            <w:shd w:val="pct5" w:color="000000" w:fill="FFFFFF"/>
          </w:tcPr>
          <w:p w:rsidR="00A47FE3" w:rsidRPr="008A1DA4" w:rsidRDefault="004622FE" w:rsidP="007100F8">
            <w:pPr>
              <w:rPr>
                <w:sz w:val="20"/>
                <w:szCs w:val="20"/>
              </w:rPr>
            </w:pPr>
            <w:r w:rsidRPr="008A1DA4">
              <w:rPr>
                <w:sz w:val="20"/>
                <w:szCs w:val="20"/>
              </w:rPr>
              <w:t xml:space="preserve">$ </w:t>
            </w:r>
            <w:proofErr w:type="gramStart"/>
            <w:r w:rsidRPr="008A1DA4">
              <w:rPr>
                <w:sz w:val="20"/>
                <w:szCs w:val="20"/>
              </w:rPr>
              <w:t>per</w:t>
            </w:r>
            <w:proofErr w:type="gramEnd"/>
            <w:r w:rsidRPr="008A1DA4">
              <w:rPr>
                <w:sz w:val="20"/>
                <w:szCs w:val="20"/>
              </w:rPr>
              <w:t xml:space="preserve"> fixture.</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Base Case Equipment Cost ($/unit):</w:t>
            </w:r>
          </w:p>
        </w:tc>
        <w:tc>
          <w:tcPr>
            <w:tcW w:w="5487" w:type="dxa"/>
            <w:shd w:val="pct20" w:color="000000" w:fill="FFFFFF"/>
          </w:tcPr>
          <w:p w:rsidR="000B0167" w:rsidRPr="008A1DA4" w:rsidRDefault="00893347" w:rsidP="007100F8">
            <w:pPr>
              <w:rPr>
                <w:sz w:val="20"/>
                <w:szCs w:val="20"/>
              </w:rPr>
            </w:pPr>
            <w:r>
              <w:rPr>
                <w:sz w:val="20"/>
                <w:szCs w:val="20"/>
              </w:rPr>
              <w:t>Varies</w:t>
            </w:r>
          </w:p>
          <w:p w:rsidR="000B0167" w:rsidRPr="008A1DA4" w:rsidRDefault="000B0167" w:rsidP="007100F8">
            <w:pPr>
              <w:rPr>
                <w:sz w:val="20"/>
                <w:szCs w:val="20"/>
              </w:rPr>
            </w:pPr>
          </w:p>
          <w:p w:rsidR="00A47FE3" w:rsidRPr="008A1DA4" w:rsidRDefault="00A47FE3" w:rsidP="007100F8">
            <w:pPr>
              <w:rPr>
                <w:sz w:val="20"/>
                <w:szCs w:val="20"/>
              </w:rPr>
            </w:pPr>
            <w:r w:rsidRPr="008A1DA4">
              <w:rPr>
                <w:sz w:val="20"/>
                <w:szCs w:val="20"/>
              </w:rPr>
              <w:t>Source:  PG&amp;E Calculations</w:t>
            </w:r>
            <w:r w:rsidR="004622FE" w:rsidRPr="008A1DA4">
              <w:rPr>
                <w:sz w:val="20"/>
                <w:szCs w:val="20"/>
              </w:rPr>
              <w:t>.</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Measure Equipment Cost ($/unit): </w:t>
            </w:r>
          </w:p>
        </w:tc>
        <w:tc>
          <w:tcPr>
            <w:tcW w:w="5487" w:type="dxa"/>
            <w:shd w:val="pct5" w:color="000000" w:fill="FFFFFF"/>
          </w:tcPr>
          <w:p w:rsidR="000B0167" w:rsidRDefault="00893347" w:rsidP="007100F8">
            <w:pPr>
              <w:rPr>
                <w:sz w:val="20"/>
                <w:szCs w:val="20"/>
              </w:rPr>
            </w:pPr>
            <w:r>
              <w:rPr>
                <w:sz w:val="20"/>
                <w:szCs w:val="20"/>
              </w:rPr>
              <w:t>Varies</w:t>
            </w:r>
          </w:p>
          <w:p w:rsidR="00893347" w:rsidRPr="008A1DA4" w:rsidRDefault="00893347" w:rsidP="007100F8">
            <w:pPr>
              <w:rPr>
                <w:sz w:val="20"/>
                <w:szCs w:val="20"/>
              </w:rPr>
            </w:pPr>
          </w:p>
          <w:p w:rsidR="00A47FE3" w:rsidRPr="008A1DA4" w:rsidRDefault="00A47FE3" w:rsidP="007100F8">
            <w:pPr>
              <w:rPr>
                <w:sz w:val="20"/>
                <w:szCs w:val="20"/>
              </w:rPr>
            </w:pPr>
            <w:r w:rsidRPr="008A1DA4">
              <w:rPr>
                <w:sz w:val="20"/>
                <w:szCs w:val="20"/>
              </w:rPr>
              <w:t>Source:  PG&amp;E Calculations</w:t>
            </w:r>
            <w:r w:rsidR="004622FE" w:rsidRPr="008A1DA4">
              <w:rPr>
                <w:sz w:val="20"/>
                <w:szCs w:val="20"/>
              </w:rPr>
              <w:t>.</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 xml:space="preserve">Measure Incremental Cost ($/unit): </w:t>
            </w:r>
          </w:p>
        </w:tc>
        <w:tc>
          <w:tcPr>
            <w:tcW w:w="5487" w:type="dxa"/>
            <w:shd w:val="pct20" w:color="000000" w:fill="FFFFFF"/>
          </w:tcPr>
          <w:p w:rsidR="000B0167" w:rsidRPr="008A1DA4" w:rsidRDefault="00893347" w:rsidP="007100F8">
            <w:pPr>
              <w:rPr>
                <w:sz w:val="20"/>
                <w:szCs w:val="20"/>
              </w:rPr>
            </w:pPr>
            <w:r>
              <w:rPr>
                <w:sz w:val="20"/>
                <w:szCs w:val="20"/>
              </w:rPr>
              <w:t>Varies</w:t>
            </w:r>
          </w:p>
          <w:p w:rsidR="000B0167" w:rsidRPr="008A1DA4" w:rsidRDefault="000B0167" w:rsidP="007100F8">
            <w:pPr>
              <w:rPr>
                <w:sz w:val="20"/>
                <w:szCs w:val="20"/>
              </w:rPr>
            </w:pPr>
          </w:p>
          <w:p w:rsidR="00A47FE3" w:rsidRPr="008A1DA4" w:rsidRDefault="00A47FE3" w:rsidP="007100F8">
            <w:pPr>
              <w:rPr>
                <w:sz w:val="20"/>
                <w:szCs w:val="20"/>
              </w:rPr>
            </w:pPr>
            <w:r w:rsidRPr="008A1DA4">
              <w:rPr>
                <w:sz w:val="20"/>
                <w:szCs w:val="20"/>
              </w:rPr>
              <w:t>Source:  PG&amp;E Calculations</w:t>
            </w:r>
            <w:r w:rsidR="004622FE" w:rsidRPr="008A1DA4">
              <w:rPr>
                <w:sz w:val="20"/>
                <w:szCs w:val="20"/>
              </w:rPr>
              <w:t>.</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Effective Useful Life (years): </w:t>
            </w:r>
          </w:p>
        </w:tc>
        <w:tc>
          <w:tcPr>
            <w:tcW w:w="5487" w:type="dxa"/>
            <w:shd w:val="pct5" w:color="000000" w:fill="FFFFFF"/>
          </w:tcPr>
          <w:p w:rsidR="000B0167" w:rsidRPr="008A1DA4" w:rsidRDefault="004622FE" w:rsidP="007100F8">
            <w:pPr>
              <w:rPr>
                <w:sz w:val="20"/>
                <w:szCs w:val="20"/>
              </w:rPr>
            </w:pPr>
            <w:r w:rsidRPr="008A1DA4">
              <w:rPr>
                <w:sz w:val="20"/>
                <w:szCs w:val="20"/>
              </w:rPr>
              <w:t>12</w:t>
            </w:r>
            <w:r w:rsidR="00B32426" w:rsidRPr="008A1DA4">
              <w:rPr>
                <w:sz w:val="20"/>
                <w:szCs w:val="20"/>
              </w:rPr>
              <w:t xml:space="preserve"> </w:t>
            </w:r>
            <w:r w:rsidRPr="008A1DA4">
              <w:rPr>
                <w:sz w:val="20"/>
                <w:szCs w:val="20"/>
              </w:rPr>
              <w:t>years</w:t>
            </w:r>
            <w:r w:rsidR="00C94ADB">
              <w:rPr>
                <w:sz w:val="20"/>
                <w:szCs w:val="20"/>
              </w:rPr>
              <w:t xml:space="preserve">, </w:t>
            </w:r>
            <w:r w:rsidR="00F178CD" w:rsidRPr="0077127E">
              <w:rPr>
                <w:sz w:val="20"/>
                <w:szCs w:val="20"/>
              </w:rPr>
              <w:t>OLtg-Com-LED-50000hr</w:t>
            </w:r>
          </w:p>
          <w:p w:rsidR="00A47FE3" w:rsidRPr="008A1DA4" w:rsidRDefault="00A47FE3" w:rsidP="00F178CD">
            <w:pPr>
              <w:rPr>
                <w:sz w:val="20"/>
                <w:szCs w:val="20"/>
              </w:rPr>
            </w:pPr>
            <w:r w:rsidRPr="008A1DA4">
              <w:rPr>
                <w:sz w:val="20"/>
                <w:szCs w:val="20"/>
              </w:rPr>
              <w:t xml:space="preserve">Source:  </w:t>
            </w:r>
            <w:r w:rsidR="00F178CD">
              <w:rPr>
                <w:sz w:val="20"/>
                <w:szCs w:val="20"/>
              </w:rPr>
              <w:t>DEER2016</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Program Type:</w:t>
            </w:r>
          </w:p>
        </w:tc>
        <w:tc>
          <w:tcPr>
            <w:tcW w:w="5487" w:type="dxa"/>
            <w:shd w:val="pct20" w:color="000000" w:fill="FFFFFF"/>
          </w:tcPr>
          <w:p w:rsidR="00A47FE3" w:rsidRPr="008A1DA4" w:rsidRDefault="004622FE" w:rsidP="007100F8">
            <w:pPr>
              <w:rPr>
                <w:sz w:val="20"/>
                <w:szCs w:val="20"/>
              </w:rPr>
            </w:pPr>
            <w:r w:rsidRPr="008A1DA4">
              <w:rPr>
                <w:sz w:val="20"/>
                <w:szCs w:val="20"/>
              </w:rPr>
              <w:t>Re</w:t>
            </w:r>
            <w:r w:rsidR="009C2AFF">
              <w:rPr>
                <w:sz w:val="20"/>
                <w:szCs w:val="20"/>
              </w:rPr>
              <w:t>place on Burnout</w:t>
            </w:r>
            <w:r w:rsidR="0077127E">
              <w:rPr>
                <w:sz w:val="20"/>
                <w:szCs w:val="20"/>
              </w:rPr>
              <w:t xml:space="preserve"> or New Construction</w:t>
            </w:r>
          </w:p>
        </w:tc>
      </w:tr>
      <w:tr w:rsidR="00A47FE3" w:rsidRPr="008A1DA4">
        <w:trPr>
          <w:trHeight w:val="465"/>
        </w:trPr>
        <w:tc>
          <w:tcPr>
            <w:tcW w:w="4161" w:type="dxa"/>
            <w:shd w:val="pct5" w:color="000000" w:fill="FFFFFF"/>
          </w:tcPr>
          <w:p w:rsidR="00A47FE3" w:rsidRPr="008A1DA4" w:rsidRDefault="00A47FE3" w:rsidP="007100F8">
            <w:pPr>
              <w:rPr>
                <w:b/>
              </w:rPr>
            </w:pPr>
            <w:r w:rsidRPr="008A1DA4">
              <w:rPr>
                <w:b/>
              </w:rPr>
              <w:t xml:space="preserve">Net-to-Gross Ratios: </w:t>
            </w:r>
          </w:p>
        </w:tc>
        <w:tc>
          <w:tcPr>
            <w:tcW w:w="5487" w:type="dxa"/>
            <w:shd w:val="pct5" w:color="000000" w:fill="FFFFFF"/>
          </w:tcPr>
          <w:p w:rsidR="00966382" w:rsidRPr="00B67F63" w:rsidRDefault="00966382" w:rsidP="00966382">
            <w:pPr>
              <w:rPr>
                <w:sz w:val="20"/>
                <w:szCs w:val="20"/>
              </w:rPr>
            </w:pPr>
            <w:r w:rsidRPr="00B67F63">
              <w:rPr>
                <w:sz w:val="20"/>
                <w:szCs w:val="20"/>
              </w:rPr>
              <w:t>NTG =  0.</w:t>
            </w:r>
            <w:r w:rsidR="00C94ADB">
              <w:rPr>
                <w:sz w:val="20"/>
                <w:szCs w:val="20"/>
              </w:rPr>
              <w:t>6,</w:t>
            </w:r>
            <w:r w:rsidRPr="00B67F63">
              <w:rPr>
                <w:sz w:val="20"/>
                <w:szCs w:val="20"/>
              </w:rPr>
              <w:t xml:space="preserve"> </w:t>
            </w:r>
            <w:r w:rsidR="00F178CD" w:rsidRPr="0077127E">
              <w:rPr>
                <w:sz w:val="20"/>
                <w:szCs w:val="20"/>
              </w:rPr>
              <w:t>Com-Default&gt;2yrs</w:t>
            </w:r>
          </w:p>
          <w:p w:rsidR="0014654E" w:rsidRPr="008A1DA4" w:rsidRDefault="001740FC" w:rsidP="00F178CD">
            <w:pPr>
              <w:shd w:val="clear" w:color="auto" w:fill="F2F2F2"/>
              <w:spacing w:after="15"/>
              <w:rPr>
                <w:sz w:val="20"/>
                <w:szCs w:val="20"/>
              </w:rPr>
            </w:pPr>
            <w:r>
              <w:rPr>
                <w:sz w:val="20"/>
                <w:szCs w:val="20"/>
              </w:rPr>
              <w:t>Source:  DEER 201</w:t>
            </w:r>
            <w:r w:rsidR="00C94ADB">
              <w:rPr>
                <w:sz w:val="20"/>
                <w:szCs w:val="20"/>
              </w:rPr>
              <w:t>6</w:t>
            </w:r>
          </w:p>
        </w:tc>
      </w:tr>
      <w:tr w:rsidR="00A47FE3" w:rsidRPr="008A1DA4">
        <w:trPr>
          <w:trHeight w:val="465"/>
        </w:trPr>
        <w:tc>
          <w:tcPr>
            <w:tcW w:w="4161" w:type="dxa"/>
            <w:shd w:val="pct20" w:color="000000" w:fill="FFFFFF"/>
          </w:tcPr>
          <w:p w:rsidR="00A47FE3" w:rsidRPr="008A1DA4" w:rsidRDefault="00A47FE3" w:rsidP="007100F8">
            <w:pPr>
              <w:rPr>
                <w:b/>
              </w:rPr>
            </w:pPr>
            <w:r w:rsidRPr="008A1DA4">
              <w:rPr>
                <w:b/>
              </w:rPr>
              <w:t>Important Comments:</w:t>
            </w:r>
          </w:p>
        </w:tc>
        <w:tc>
          <w:tcPr>
            <w:tcW w:w="5487" w:type="dxa"/>
            <w:shd w:val="pct20" w:color="000000" w:fill="FFFFFF"/>
          </w:tcPr>
          <w:p w:rsidR="00A47FE3" w:rsidRPr="008A1DA4" w:rsidRDefault="00A47FE3">
            <w:pPr>
              <w:rPr>
                <w:sz w:val="20"/>
                <w:szCs w:val="20"/>
              </w:rPr>
            </w:pPr>
          </w:p>
        </w:tc>
      </w:tr>
    </w:tbl>
    <w:p w:rsidR="00A47FE3" w:rsidRPr="008A1DA4" w:rsidRDefault="00A47FE3" w:rsidP="007100F8">
      <w:pPr>
        <w:rPr>
          <w:rFonts w:ascii="Arial" w:hAnsi="Arial" w:cs="Arial"/>
          <w:b/>
          <w:sz w:val="20"/>
          <w:szCs w:val="20"/>
        </w:rPr>
        <w:sectPr w:rsidR="00A47FE3" w:rsidRPr="008A1DA4">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r w:rsidRPr="008A1DA4">
        <w:rPr>
          <w:rFonts w:ascii="Arial" w:hAnsi="Arial" w:cs="Arial"/>
          <w:b/>
          <w:i/>
          <w:sz w:val="20"/>
          <w:szCs w:val="20"/>
          <w:highlight w:val="cyan"/>
        </w:rPr>
        <w:t xml:space="preserve"> </w:t>
      </w:r>
    </w:p>
    <w:p w:rsidR="000B0167" w:rsidRPr="008A1DA4" w:rsidRDefault="00A47FE3">
      <w:pPr>
        <w:pStyle w:val="Heading1"/>
      </w:pPr>
      <w:bookmarkStart w:id="3" w:name="_Toc438469083"/>
      <w:r w:rsidRPr="008A1DA4">
        <w:lastRenderedPageBreak/>
        <w:t>Document Revision History</w:t>
      </w:r>
      <w:bookmarkEnd w:id="3"/>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AD7A78" w:rsidRPr="008A1DA4" w:rsidTr="00AD7A78">
        <w:tc>
          <w:tcPr>
            <w:tcW w:w="870" w:type="pct"/>
            <w:shd w:val="clear" w:color="auto" w:fill="auto"/>
          </w:tcPr>
          <w:p w:rsidR="00AD7A78" w:rsidRPr="008A1DA4" w:rsidRDefault="00AD7A78" w:rsidP="007100F8">
            <w:pPr>
              <w:rPr>
                <w:b/>
              </w:rPr>
            </w:pPr>
            <w:r w:rsidRPr="008A1DA4">
              <w:rPr>
                <w:b/>
              </w:rPr>
              <w:t>Revision #</w:t>
            </w:r>
          </w:p>
        </w:tc>
        <w:tc>
          <w:tcPr>
            <w:tcW w:w="746" w:type="pct"/>
            <w:shd w:val="clear" w:color="auto" w:fill="auto"/>
          </w:tcPr>
          <w:p w:rsidR="00AD7A78" w:rsidRPr="008A1DA4" w:rsidRDefault="00AD7A78" w:rsidP="007100F8">
            <w:pPr>
              <w:rPr>
                <w:b/>
              </w:rPr>
            </w:pPr>
            <w:r w:rsidRPr="008A1DA4">
              <w:rPr>
                <w:b/>
              </w:rPr>
              <w:t>Date</w:t>
            </w:r>
          </w:p>
        </w:tc>
        <w:tc>
          <w:tcPr>
            <w:tcW w:w="1692" w:type="pct"/>
            <w:shd w:val="clear" w:color="auto" w:fill="auto"/>
          </w:tcPr>
          <w:p w:rsidR="00AD7A78" w:rsidRPr="008A1DA4" w:rsidRDefault="00AD7A78" w:rsidP="007100F8">
            <w:pPr>
              <w:rPr>
                <w:b/>
              </w:rPr>
            </w:pPr>
            <w:r w:rsidRPr="008A1DA4">
              <w:rPr>
                <w:b/>
              </w:rPr>
              <w:t>Description</w:t>
            </w:r>
          </w:p>
        </w:tc>
        <w:tc>
          <w:tcPr>
            <w:tcW w:w="1692" w:type="pct"/>
            <w:shd w:val="clear" w:color="auto" w:fill="auto"/>
          </w:tcPr>
          <w:p w:rsidR="00AD7A78" w:rsidRPr="008A1DA4" w:rsidRDefault="00AD7A78" w:rsidP="007100F8">
            <w:pPr>
              <w:rPr>
                <w:b/>
                <w:bCs/>
              </w:rPr>
            </w:pPr>
            <w:r w:rsidRPr="008A1DA4">
              <w:rPr>
                <w:b/>
              </w:rPr>
              <w:t>Author (Company)</w:t>
            </w:r>
          </w:p>
        </w:tc>
      </w:tr>
      <w:tr w:rsidR="00A47FE3" w:rsidRPr="008A1DA4" w:rsidTr="004F1F5A">
        <w:trPr>
          <w:trHeight w:val="464"/>
        </w:trPr>
        <w:tc>
          <w:tcPr>
            <w:tcW w:w="870" w:type="pct"/>
            <w:shd w:val="clear" w:color="auto" w:fill="C0C0C0"/>
          </w:tcPr>
          <w:p w:rsidR="00A47FE3" w:rsidRPr="008A1DA4" w:rsidRDefault="00A47FE3" w:rsidP="007100F8">
            <w:r w:rsidRPr="008A1DA4">
              <w:t>Revision 0</w:t>
            </w:r>
          </w:p>
        </w:tc>
        <w:tc>
          <w:tcPr>
            <w:tcW w:w="746" w:type="pct"/>
            <w:shd w:val="clear" w:color="auto" w:fill="C0C0C0"/>
          </w:tcPr>
          <w:p w:rsidR="00A47FE3" w:rsidRPr="008A1DA4" w:rsidRDefault="00B32426" w:rsidP="007100F8">
            <w:r w:rsidRPr="008A1DA4">
              <w:t>11/19</w:t>
            </w:r>
            <w:r w:rsidR="00602D00" w:rsidRPr="008A1DA4">
              <w:t>/08</w:t>
            </w:r>
          </w:p>
        </w:tc>
        <w:tc>
          <w:tcPr>
            <w:tcW w:w="1692" w:type="pct"/>
            <w:shd w:val="clear" w:color="auto" w:fill="C0C0C0"/>
          </w:tcPr>
          <w:p w:rsidR="00A47FE3" w:rsidRPr="008A1DA4" w:rsidRDefault="00A47FE3" w:rsidP="007100F8">
            <w:r w:rsidRPr="008A1DA4">
              <w:t>Original work paper</w:t>
            </w:r>
          </w:p>
        </w:tc>
        <w:tc>
          <w:tcPr>
            <w:tcW w:w="1692" w:type="pct"/>
            <w:shd w:val="clear" w:color="auto" w:fill="C0C0C0"/>
          </w:tcPr>
          <w:p w:rsidR="000B0167" w:rsidRPr="008A1DA4" w:rsidRDefault="00602D00" w:rsidP="007100F8">
            <w:pPr>
              <w:rPr>
                <w:bCs/>
              </w:rPr>
            </w:pPr>
            <w:r w:rsidRPr="008A1DA4">
              <w:rPr>
                <w:bCs/>
              </w:rPr>
              <w:t>Marc Theobald</w:t>
            </w:r>
            <w:r w:rsidR="00A47FE3" w:rsidRPr="008A1DA4">
              <w:rPr>
                <w:bCs/>
              </w:rPr>
              <w:t xml:space="preserve"> (</w:t>
            </w:r>
            <w:r w:rsidRPr="008A1DA4">
              <w:rPr>
                <w:bCs/>
              </w:rPr>
              <w:t>EES)</w:t>
            </w:r>
          </w:p>
          <w:p w:rsidR="00A47FE3" w:rsidRPr="008A1DA4" w:rsidRDefault="00602D00" w:rsidP="007100F8">
            <w:pPr>
              <w:rPr>
                <w:bCs/>
              </w:rPr>
            </w:pPr>
            <w:r w:rsidRPr="008A1DA4">
              <w:rPr>
                <w:bCs/>
              </w:rPr>
              <w:t xml:space="preserve">Jack Howells </w:t>
            </w:r>
            <w:r w:rsidR="00A47FE3" w:rsidRPr="008A1DA4">
              <w:rPr>
                <w:bCs/>
              </w:rPr>
              <w:t>(</w:t>
            </w:r>
            <w:r w:rsidRPr="008A1DA4">
              <w:rPr>
                <w:bCs/>
              </w:rPr>
              <w:t>EES</w:t>
            </w:r>
            <w:r w:rsidR="00A47FE3" w:rsidRPr="008A1DA4">
              <w:rPr>
                <w:bCs/>
              </w:rPr>
              <w:t>)</w:t>
            </w:r>
            <w:r w:rsidR="00A47FE3" w:rsidRPr="008A1DA4">
              <w:t xml:space="preserve"> </w:t>
            </w:r>
          </w:p>
        </w:tc>
      </w:tr>
      <w:tr w:rsidR="00A47FE3" w:rsidRPr="008A1DA4" w:rsidTr="004F1F5A">
        <w:trPr>
          <w:trHeight w:val="464"/>
        </w:trPr>
        <w:tc>
          <w:tcPr>
            <w:tcW w:w="870" w:type="pct"/>
            <w:shd w:val="clear" w:color="auto" w:fill="EAEAEA"/>
          </w:tcPr>
          <w:p w:rsidR="00A47FE3" w:rsidRPr="008A1DA4" w:rsidRDefault="00BB071B" w:rsidP="007100F8">
            <w:r w:rsidRPr="008A1DA4">
              <w:t>Revision 1</w:t>
            </w:r>
          </w:p>
        </w:tc>
        <w:tc>
          <w:tcPr>
            <w:tcW w:w="746" w:type="pct"/>
            <w:shd w:val="clear" w:color="auto" w:fill="EAEAEA"/>
          </w:tcPr>
          <w:p w:rsidR="00A47FE3" w:rsidRPr="008A1DA4" w:rsidRDefault="00937633" w:rsidP="007100F8">
            <w:r w:rsidRPr="008A1DA4">
              <w:t>0</w:t>
            </w:r>
            <w:r w:rsidR="00BB071B" w:rsidRPr="008A1DA4">
              <w:t>3/20/09</w:t>
            </w:r>
          </w:p>
        </w:tc>
        <w:tc>
          <w:tcPr>
            <w:tcW w:w="1692" w:type="pct"/>
            <w:shd w:val="clear" w:color="auto" w:fill="EAEAEA"/>
          </w:tcPr>
          <w:p w:rsidR="00A47FE3" w:rsidRPr="008A1DA4" w:rsidRDefault="00BB071B" w:rsidP="007100F8">
            <w:r w:rsidRPr="008A1DA4">
              <w:t>PGECOLTG151 R1</w:t>
            </w:r>
          </w:p>
        </w:tc>
        <w:tc>
          <w:tcPr>
            <w:tcW w:w="1692" w:type="pct"/>
            <w:shd w:val="clear" w:color="auto" w:fill="EAEAEA"/>
          </w:tcPr>
          <w:p w:rsidR="00A47FE3" w:rsidRPr="008A1DA4" w:rsidRDefault="00BB071B" w:rsidP="007100F8">
            <w:pPr>
              <w:rPr>
                <w:bCs/>
              </w:rPr>
            </w:pPr>
            <w:r w:rsidRPr="008A1DA4">
              <w:rPr>
                <w:bCs/>
              </w:rPr>
              <w:t>Jim Wyatt (PG&amp;E)</w:t>
            </w:r>
          </w:p>
        </w:tc>
      </w:tr>
      <w:tr w:rsidR="00A47FE3" w:rsidRPr="008A1DA4" w:rsidTr="004F1F5A">
        <w:trPr>
          <w:trHeight w:val="464"/>
        </w:trPr>
        <w:tc>
          <w:tcPr>
            <w:tcW w:w="870" w:type="pct"/>
            <w:shd w:val="clear" w:color="auto" w:fill="C0C0C0"/>
          </w:tcPr>
          <w:p w:rsidR="00A47FE3" w:rsidRPr="008A1DA4" w:rsidRDefault="00937633" w:rsidP="007100F8">
            <w:r w:rsidRPr="008A1DA4">
              <w:t>Revision 2</w:t>
            </w:r>
          </w:p>
        </w:tc>
        <w:tc>
          <w:tcPr>
            <w:tcW w:w="746" w:type="pct"/>
            <w:shd w:val="clear" w:color="auto" w:fill="C0C0C0"/>
          </w:tcPr>
          <w:p w:rsidR="00A47FE3" w:rsidRPr="008A1DA4" w:rsidRDefault="00937633" w:rsidP="007100F8">
            <w:r w:rsidRPr="008A1DA4">
              <w:t>01/15/2010</w:t>
            </w:r>
          </w:p>
        </w:tc>
        <w:tc>
          <w:tcPr>
            <w:tcW w:w="1692" w:type="pct"/>
            <w:shd w:val="clear" w:color="auto" w:fill="C0C0C0"/>
          </w:tcPr>
          <w:p w:rsidR="00A47FE3" w:rsidRPr="008A1DA4" w:rsidRDefault="00937633" w:rsidP="007100F8">
            <w:r w:rsidRPr="008A1DA4">
              <w:t>PGECOLTG151 R2</w:t>
            </w:r>
          </w:p>
        </w:tc>
        <w:tc>
          <w:tcPr>
            <w:tcW w:w="1692" w:type="pct"/>
            <w:shd w:val="clear" w:color="auto" w:fill="C0C0C0"/>
          </w:tcPr>
          <w:p w:rsidR="00A47FE3" w:rsidRPr="008A1DA4" w:rsidRDefault="00937633" w:rsidP="007100F8">
            <w:pPr>
              <w:rPr>
                <w:bCs/>
              </w:rPr>
            </w:pPr>
            <w:r w:rsidRPr="008A1DA4">
              <w:rPr>
                <w:bCs/>
              </w:rPr>
              <w:t>Jim Wyatt (PG&amp;E)</w:t>
            </w:r>
          </w:p>
        </w:tc>
      </w:tr>
      <w:tr w:rsidR="00A47FE3" w:rsidRPr="008A1DA4" w:rsidTr="004F1F5A">
        <w:trPr>
          <w:trHeight w:val="464"/>
        </w:trPr>
        <w:tc>
          <w:tcPr>
            <w:tcW w:w="870" w:type="pct"/>
            <w:shd w:val="clear" w:color="auto" w:fill="EAEAEA"/>
          </w:tcPr>
          <w:p w:rsidR="00A47FE3" w:rsidRPr="008A1DA4" w:rsidRDefault="00AD7A78" w:rsidP="007100F8">
            <w:r w:rsidRPr="008A1DA4">
              <w:t>Revision 3</w:t>
            </w:r>
          </w:p>
        </w:tc>
        <w:tc>
          <w:tcPr>
            <w:tcW w:w="746" w:type="pct"/>
            <w:shd w:val="clear" w:color="auto" w:fill="EAEAEA"/>
          </w:tcPr>
          <w:p w:rsidR="00A47FE3" w:rsidRPr="008A1DA4" w:rsidRDefault="00AD7A78" w:rsidP="007100F8">
            <w:r w:rsidRPr="008A1DA4">
              <w:t>06/15/2012</w:t>
            </w:r>
          </w:p>
        </w:tc>
        <w:tc>
          <w:tcPr>
            <w:tcW w:w="1692" w:type="pct"/>
            <w:shd w:val="clear" w:color="auto" w:fill="EAEAEA"/>
          </w:tcPr>
          <w:p w:rsidR="00A47FE3" w:rsidRPr="008A1DA4" w:rsidRDefault="00AD7A78" w:rsidP="008A1DA4">
            <w:r w:rsidRPr="008A1DA4">
              <w:t>PGECOLTG151 R</w:t>
            </w:r>
            <w:r w:rsidR="008A1DA4">
              <w:t>3</w:t>
            </w:r>
          </w:p>
        </w:tc>
        <w:tc>
          <w:tcPr>
            <w:tcW w:w="1692" w:type="pct"/>
            <w:shd w:val="clear" w:color="auto" w:fill="EAEAEA"/>
          </w:tcPr>
          <w:p w:rsidR="00A47FE3" w:rsidRPr="008A1DA4" w:rsidRDefault="006D7F88">
            <w:pPr>
              <w:rPr>
                <w:bCs/>
              </w:rPr>
            </w:pPr>
            <w:r w:rsidRPr="008A1DA4">
              <w:rPr>
                <w:bCs/>
              </w:rPr>
              <w:t>John Rossi (EES)</w:t>
            </w:r>
          </w:p>
          <w:p w:rsidR="006D7F88" w:rsidRDefault="006D7F88">
            <w:pPr>
              <w:rPr>
                <w:bCs/>
              </w:rPr>
            </w:pPr>
            <w:r w:rsidRPr="008A1DA4">
              <w:rPr>
                <w:bCs/>
              </w:rPr>
              <w:t>Jay Martin (EES)</w:t>
            </w:r>
          </w:p>
          <w:p w:rsidR="009C2AFF" w:rsidRPr="008A1DA4" w:rsidRDefault="009C2AFF">
            <w:pPr>
              <w:rPr>
                <w:bCs/>
              </w:rPr>
            </w:pPr>
            <w:r>
              <w:rPr>
                <w:bCs/>
              </w:rPr>
              <w:t>Jim Wyatt (PG&amp;E)</w:t>
            </w:r>
          </w:p>
        </w:tc>
      </w:tr>
      <w:tr w:rsidR="00A47FE3" w:rsidRPr="008A1DA4" w:rsidTr="004F1F5A">
        <w:trPr>
          <w:trHeight w:val="464"/>
        </w:trPr>
        <w:tc>
          <w:tcPr>
            <w:tcW w:w="870" w:type="pct"/>
            <w:shd w:val="clear" w:color="auto" w:fill="C0C0C0"/>
          </w:tcPr>
          <w:p w:rsidR="00A47FE3" w:rsidRPr="008A1DA4" w:rsidRDefault="005F0012">
            <w:r w:rsidRPr="008A1DA4">
              <w:t>Revision 3</w:t>
            </w:r>
          </w:p>
        </w:tc>
        <w:tc>
          <w:tcPr>
            <w:tcW w:w="746" w:type="pct"/>
            <w:shd w:val="clear" w:color="auto" w:fill="C0C0C0"/>
          </w:tcPr>
          <w:p w:rsidR="00A47FE3" w:rsidRPr="008A1DA4" w:rsidRDefault="005F0012">
            <w:r>
              <w:t>8/29/12</w:t>
            </w:r>
          </w:p>
        </w:tc>
        <w:tc>
          <w:tcPr>
            <w:tcW w:w="1692" w:type="pct"/>
            <w:shd w:val="clear" w:color="auto" w:fill="C0C0C0"/>
          </w:tcPr>
          <w:p w:rsidR="00A47FE3" w:rsidRPr="008A1DA4" w:rsidRDefault="005F0012">
            <w:r w:rsidRPr="005F0012">
              <w:t>For Building type changed COM to ANY, For Vintage AV is changed to ANY and For Climate Zone All is changed to ANY (Since this measure is for Exterior Lighting)</w:t>
            </w:r>
          </w:p>
        </w:tc>
        <w:tc>
          <w:tcPr>
            <w:tcW w:w="1692" w:type="pct"/>
            <w:shd w:val="clear" w:color="auto" w:fill="C0C0C0"/>
          </w:tcPr>
          <w:p w:rsidR="00A47FE3" w:rsidRDefault="005F0012">
            <w:r>
              <w:t>Alina Zohrabian (PG&amp;E)</w:t>
            </w:r>
          </w:p>
          <w:p w:rsidR="001B4957" w:rsidRDefault="001B4957"/>
          <w:p w:rsidR="001B4957" w:rsidRDefault="001B4957"/>
          <w:p w:rsidR="001B4957" w:rsidRDefault="001B4957"/>
          <w:p w:rsidR="001B4957" w:rsidRDefault="001B4957"/>
          <w:p w:rsidR="001B4957" w:rsidRDefault="001B4957"/>
          <w:p w:rsidR="001B4957" w:rsidRPr="008A1DA4" w:rsidRDefault="001B4957"/>
        </w:tc>
      </w:tr>
      <w:tr w:rsidR="001740FC" w:rsidRPr="008A1DA4" w:rsidTr="007B7EF9">
        <w:trPr>
          <w:trHeight w:val="464"/>
        </w:trPr>
        <w:tc>
          <w:tcPr>
            <w:tcW w:w="870" w:type="pct"/>
            <w:shd w:val="clear" w:color="auto" w:fill="EAEAEA"/>
          </w:tcPr>
          <w:p w:rsidR="001740FC" w:rsidRPr="008A1DA4" w:rsidRDefault="001740FC" w:rsidP="001740FC">
            <w:bookmarkStart w:id="4" w:name="_Toc186621650"/>
            <w:r w:rsidRPr="008A1DA4">
              <w:t xml:space="preserve">Revision </w:t>
            </w:r>
            <w:r>
              <w:t>4</w:t>
            </w:r>
          </w:p>
        </w:tc>
        <w:tc>
          <w:tcPr>
            <w:tcW w:w="746" w:type="pct"/>
            <w:shd w:val="clear" w:color="auto" w:fill="EAEAEA"/>
          </w:tcPr>
          <w:p w:rsidR="001740FC" w:rsidRPr="008A1DA4" w:rsidRDefault="001740FC" w:rsidP="001740FC">
            <w:r w:rsidRPr="008A1DA4">
              <w:t>0</w:t>
            </w:r>
            <w:r>
              <w:t>5</w:t>
            </w:r>
            <w:r w:rsidRPr="008A1DA4">
              <w:t>/</w:t>
            </w:r>
            <w:r>
              <w:t>22</w:t>
            </w:r>
            <w:r w:rsidRPr="008A1DA4">
              <w:t>/201</w:t>
            </w:r>
            <w:r>
              <w:t>4</w:t>
            </w:r>
          </w:p>
        </w:tc>
        <w:tc>
          <w:tcPr>
            <w:tcW w:w="1692" w:type="pct"/>
            <w:shd w:val="clear" w:color="auto" w:fill="EAEAEA"/>
          </w:tcPr>
          <w:p w:rsidR="001740FC" w:rsidRPr="008A1DA4" w:rsidRDefault="00D66335" w:rsidP="007B7EF9">
            <w:r w:rsidRPr="00D66335">
              <w:t>Added DI values and applied the 2014 IE and Hours from DEER (posted 2/20/14). For updated savings values, see file PGECOLTG</w:t>
            </w:r>
            <w:r>
              <w:t>151</w:t>
            </w:r>
            <w:r w:rsidRPr="00D66335">
              <w:t xml:space="preserve"> R</w:t>
            </w:r>
            <w:r>
              <w:t>4</w:t>
            </w:r>
            <w:r w:rsidRPr="00D66335">
              <w:t>.xlsx.</w:t>
            </w:r>
          </w:p>
        </w:tc>
        <w:tc>
          <w:tcPr>
            <w:tcW w:w="1692" w:type="pct"/>
            <w:shd w:val="clear" w:color="auto" w:fill="EAEAEA"/>
          </w:tcPr>
          <w:p w:rsidR="001740FC" w:rsidRPr="008A1DA4" w:rsidRDefault="006D46E7" w:rsidP="007B7EF9">
            <w:pPr>
              <w:rPr>
                <w:bCs/>
              </w:rPr>
            </w:pPr>
            <w:r>
              <w:rPr>
                <w:bCs/>
              </w:rPr>
              <w:t>Tai Voong</w:t>
            </w:r>
            <w:r w:rsidR="001740FC">
              <w:rPr>
                <w:bCs/>
              </w:rPr>
              <w:t xml:space="preserve"> (PG&amp;E)</w:t>
            </w:r>
          </w:p>
        </w:tc>
      </w:tr>
      <w:tr w:rsidR="00D56DC3" w:rsidRPr="008A1DA4" w:rsidTr="00D56DC3">
        <w:trPr>
          <w:trHeight w:val="464"/>
        </w:trPr>
        <w:tc>
          <w:tcPr>
            <w:tcW w:w="870" w:type="pct"/>
            <w:shd w:val="clear" w:color="auto" w:fill="BFBFBF" w:themeFill="background1" w:themeFillShade="BF"/>
          </w:tcPr>
          <w:p w:rsidR="00D56DC3" w:rsidRPr="008A1DA4" w:rsidRDefault="00D56DC3" w:rsidP="001740FC">
            <w:r>
              <w:t>Revision 5</w:t>
            </w:r>
          </w:p>
        </w:tc>
        <w:tc>
          <w:tcPr>
            <w:tcW w:w="746" w:type="pct"/>
            <w:shd w:val="clear" w:color="auto" w:fill="BFBFBF" w:themeFill="background1" w:themeFillShade="BF"/>
          </w:tcPr>
          <w:p w:rsidR="00D56DC3" w:rsidRPr="008A1DA4" w:rsidRDefault="00D56DC3" w:rsidP="001740FC">
            <w:r>
              <w:t>1/1/2016</w:t>
            </w:r>
          </w:p>
        </w:tc>
        <w:tc>
          <w:tcPr>
            <w:tcW w:w="1692" w:type="pct"/>
            <w:shd w:val="clear" w:color="auto" w:fill="BFBFBF" w:themeFill="background1" w:themeFillShade="BF"/>
          </w:tcPr>
          <w:p w:rsidR="00D56DC3" w:rsidRPr="00D66335" w:rsidRDefault="00686958" w:rsidP="007B7EF9">
            <w:r>
              <w:t>Added NC for measure application type.  Updated NTG</w:t>
            </w:r>
            <w:r w:rsidR="00DD0977">
              <w:t xml:space="preserve"> values &amp; EUL ID</w:t>
            </w:r>
            <w:r>
              <w:t xml:space="preserve"> per DEER 2016.</w:t>
            </w:r>
            <w:r w:rsidR="006B421E">
              <w:t xml:space="preserve">  Updated base case costs and measure costs.</w:t>
            </w:r>
          </w:p>
        </w:tc>
        <w:tc>
          <w:tcPr>
            <w:tcW w:w="1692" w:type="pct"/>
            <w:shd w:val="clear" w:color="auto" w:fill="BFBFBF" w:themeFill="background1" w:themeFillShade="BF"/>
          </w:tcPr>
          <w:p w:rsidR="00D56DC3" w:rsidRDefault="00D56DC3" w:rsidP="007B7EF9">
            <w:pPr>
              <w:rPr>
                <w:bCs/>
              </w:rPr>
            </w:pPr>
            <w:r>
              <w:rPr>
                <w:bCs/>
              </w:rPr>
              <w:t>Linda Wan (PG&amp;E)</w:t>
            </w:r>
            <w:r w:rsidR="004E2F62">
              <w:rPr>
                <w:bCs/>
              </w:rPr>
              <w:t>/</w:t>
            </w:r>
            <w:r w:rsidR="004E2F62">
              <w:t xml:space="preserve"> Alina Zohrabian (PG&amp;E)</w:t>
            </w:r>
          </w:p>
        </w:tc>
      </w:tr>
    </w:tbl>
    <w:p w:rsidR="000B0167" w:rsidRPr="008A1DA4" w:rsidRDefault="00A47FE3">
      <w:pPr>
        <w:pStyle w:val="Heading1"/>
      </w:pPr>
      <w:r w:rsidRPr="008A1DA4">
        <w:br w:type="page"/>
      </w:r>
      <w:bookmarkStart w:id="5" w:name="_Toc438469084"/>
      <w:r w:rsidRPr="008A1DA4">
        <w:lastRenderedPageBreak/>
        <w:t>Table of Contents</w:t>
      </w:r>
      <w:bookmarkEnd w:id="4"/>
      <w:bookmarkEnd w:id="5"/>
    </w:p>
    <w:p w:rsidR="00B66054" w:rsidRDefault="00A47FE3">
      <w:pPr>
        <w:pStyle w:val="TOC1"/>
        <w:rPr>
          <w:rFonts w:asciiTheme="minorHAnsi" w:eastAsiaTheme="minorEastAsia" w:hAnsiTheme="minorHAnsi" w:cstheme="minorBidi"/>
          <w:bCs w:val="0"/>
          <w:sz w:val="22"/>
          <w:szCs w:val="22"/>
        </w:rPr>
      </w:pPr>
      <w:r w:rsidRPr="001E474C">
        <w:rPr>
          <w:noProof w:val="0"/>
        </w:rPr>
        <w:fldChar w:fldCharType="begin"/>
      </w:r>
      <w:r w:rsidRPr="001E474C">
        <w:rPr>
          <w:noProof w:val="0"/>
        </w:rPr>
        <w:instrText xml:space="preserve"> TOC \o "1-3" \h \z \u </w:instrText>
      </w:r>
      <w:r w:rsidRPr="001E474C">
        <w:rPr>
          <w:noProof w:val="0"/>
        </w:rPr>
        <w:fldChar w:fldCharType="separate"/>
      </w:r>
      <w:hyperlink w:anchor="_Toc438469082" w:history="1">
        <w:r w:rsidR="00B66054" w:rsidRPr="00876048">
          <w:rPr>
            <w:rStyle w:val="Hyperlink"/>
          </w:rPr>
          <w:t>At-A-Glance Summary</w:t>
        </w:r>
        <w:r w:rsidR="00B66054">
          <w:rPr>
            <w:webHidden/>
          </w:rPr>
          <w:tab/>
        </w:r>
        <w:r w:rsidR="00B66054">
          <w:rPr>
            <w:webHidden/>
          </w:rPr>
          <w:fldChar w:fldCharType="begin"/>
        </w:r>
        <w:r w:rsidR="00B66054">
          <w:rPr>
            <w:webHidden/>
          </w:rPr>
          <w:instrText xml:space="preserve"> PAGEREF _Toc438469082 \h </w:instrText>
        </w:r>
        <w:r w:rsidR="00B66054">
          <w:rPr>
            <w:webHidden/>
          </w:rPr>
        </w:r>
        <w:r w:rsidR="00B66054">
          <w:rPr>
            <w:webHidden/>
          </w:rPr>
          <w:fldChar w:fldCharType="separate"/>
        </w:r>
        <w:r w:rsidR="00B66054">
          <w:rPr>
            <w:webHidden/>
          </w:rPr>
          <w:t>ii</w:t>
        </w:r>
        <w:r w:rsidR="00B66054">
          <w:rPr>
            <w:webHidden/>
          </w:rPr>
          <w:fldChar w:fldCharType="end"/>
        </w:r>
      </w:hyperlink>
    </w:p>
    <w:p w:rsidR="00B66054" w:rsidRDefault="00C65AE2">
      <w:pPr>
        <w:pStyle w:val="TOC1"/>
        <w:rPr>
          <w:rFonts w:asciiTheme="minorHAnsi" w:eastAsiaTheme="minorEastAsia" w:hAnsiTheme="minorHAnsi" w:cstheme="minorBidi"/>
          <w:bCs w:val="0"/>
          <w:sz w:val="22"/>
          <w:szCs w:val="22"/>
        </w:rPr>
      </w:pPr>
      <w:hyperlink w:anchor="_Toc438469083" w:history="1">
        <w:r w:rsidR="00B66054" w:rsidRPr="00876048">
          <w:rPr>
            <w:rStyle w:val="Hyperlink"/>
          </w:rPr>
          <w:t>Document Revision History</w:t>
        </w:r>
        <w:r w:rsidR="00B66054">
          <w:rPr>
            <w:webHidden/>
          </w:rPr>
          <w:tab/>
        </w:r>
        <w:r w:rsidR="00B66054">
          <w:rPr>
            <w:webHidden/>
          </w:rPr>
          <w:fldChar w:fldCharType="begin"/>
        </w:r>
        <w:r w:rsidR="00B66054">
          <w:rPr>
            <w:webHidden/>
          </w:rPr>
          <w:instrText xml:space="preserve"> PAGEREF _Toc438469083 \h </w:instrText>
        </w:r>
        <w:r w:rsidR="00B66054">
          <w:rPr>
            <w:webHidden/>
          </w:rPr>
        </w:r>
        <w:r w:rsidR="00B66054">
          <w:rPr>
            <w:webHidden/>
          </w:rPr>
          <w:fldChar w:fldCharType="separate"/>
        </w:r>
        <w:r w:rsidR="00B66054">
          <w:rPr>
            <w:webHidden/>
          </w:rPr>
          <w:t>iii</w:t>
        </w:r>
        <w:r w:rsidR="00B66054">
          <w:rPr>
            <w:webHidden/>
          </w:rPr>
          <w:fldChar w:fldCharType="end"/>
        </w:r>
      </w:hyperlink>
    </w:p>
    <w:p w:rsidR="00B66054" w:rsidRDefault="00C65AE2">
      <w:pPr>
        <w:pStyle w:val="TOC1"/>
        <w:rPr>
          <w:rFonts w:asciiTheme="minorHAnsi" w:eastAsiaTheme="minorEastAsia" w:hAnsiTheme="minorHAnsi" w:cstheme="minorBidi"/>
          <w:bCs w:val="0"/>
          <w:sz w:val="22"/>
          <w:szCs w:val="22"/>
        </w:rPr>
      </w:pPr>
      <w:hyperlink w:anchor="_Toc438469084" w:history="1">
        <w:r w:rsidR="00B66054" w:rsidRPr="00876048">
          <w:rPr>
            <w:rStyle w:val="Hyperlink"/>
          </w:rPr>
          <w:t>Table of Contents</w:t>
        </w:r>
        <w:r w:rsidR="00B66054">
          <w:rPr>
            <w:webHidden/>
          </w:rPr>
          <w:tab/>
        </w:r>
        <w:r w:rsidR="00B66054">
          <w:rPr>
            <w:webHidden/>
          </w:rPr>
          <w:fldChar w:fldCharType="begin"/>
        </w:r>
        <w:r w:rsidR="00B66054">
          <w:rPr>
            <w:webHidden/>
          </w:rPr>
          <w:instrText xml:space="preserve"> PAGEREF _Toc438469084 \h </w:instrText>
        </w:r>
        <w:r w:rsidR="00B66054">
          <w:rPr>
            <w:webHidden/>
          </w:rPr>
        </w:r>
        <w:r w:rsidR="00B66054">
          <w:rPr>
            <w:webHidden/>
          </w:rPr>
          <w:fldChar w:fldCharType="separate"/>
        </w:r>
        <w:r w:rsidR="00B66054">
          <w:rPr>
            <w:webHidden/>
          </w:rPr>
          <w:t>iv</w:t>
        </w:r>
        <w:r w:rsidR="00B66054">
          <w:rPr>
            <w:webHidden/>
          </w:rPr>
          <w:fldChar w:fldCharType="end"/>
        </w:r>
      </w:hyperlink>
    </w:p>
    <w:p w:rsidR="00B66054" w:rsidRDefault="00C65AE2">
      <w:pPr>
        <w:pStyle w:val="TOC1"/>
        <w:rPr>
          <w:rFonts w:asciiTheme="minorHAnsi" w:eastAsiaTheme="minorEastAsia" w:hAnsiTheme="minorHAnsi" w:cstheme="minorBidi"/>
          <w:bCs w:val="0"/>
          <w:sz w:val="22"/>
          <w:szCs w:val="22"/>
        </w:rPr>
      </w:pPr>
      <w:hyperlink w:anchor="_Toc438469085" w:history="1">
        <w:r w:rsidR="00B66054" w:rsidRPr="00876048">
          <w:rPr>
            <w:rStyle w:val="Hyperlink"/>
          </w:rPr>
          <w:t>List of Tables</w:t>
        </w:r>
        <w:r w:rsidR="00B66054">
          <w:rPr>
            <w:webHidden/>
          </w:rPr>
          <w:tab/>
        </w:r>
        <w:r w:rsidR="00B66054">
          <w:rPr>
            <w:webHidden/>
          </w:rPr>
          <w:fldChar w:fldCharType="begin"/>
        </w:r>
        <w:r w:rsidR="00B66054">
          <w:rPr>
            <w:webHidden/>
          </w:rPr>
          <w:instrText xml:space="preserve"> PAGEREF _Toc438469085 \h </w:instrText>
        </w:r>
        <w:r w:rsidR="00B66054">
          <w:rPr>
            <w:webHidden/>
          </w:rPr>
        </w:r>
        <w:r w:rsidR="00B66054">
          <w:rPr>
            <w:webHidden/>
          </w:rPr>
          <w:fldChar w:fldCharType="separate"/>
        </w:r>
        <w:r w:rsidR="00B66054">
          <w:rPr>
            <w:webHidden/>
          </w:rPr>
          <w:t>iv</w:t>
        </w:r>
        <w:r w:rsidR="00B66054">
          <w:rPr>
            <w:webHidden/>
          </w:rPr>
          <w:fldChar w:fldCharType="end"/>
        </w:r>
      </w:hyperlink>
    </w:p>
    <w:p w:rsidR="00B66054" w:rsidRDefault="00C65AE2">
      <w:pPr>
        <w:pStyle w:val="TOC1"/>
        <w:rPr>
          <w:rFonts w:asciiTheme="minorHAnsi" w:eastAsiaTheme="minorEastAsia" w:hAnsiTheme="minorHAnsi" w:cstheme="minorBidi"/>
          <w:bCs w:val="0"/>
          <w:sz w:val="22"/>
          <w:szCs w:val="22"/>
        </w:rPr>
      </w:pPr>
      <w:hyperlink w:anchor="_Toc438469086" w:history="1">
        <w:r w:rsidR="00B66054" w:rsidRPr="00876048">
          <w:rPr>
            <w:rStyle w:val="Hyperlink"/>
          </w:rPr>
          <w:t>List of Figures</w:t>
        </w:r>
        <w:r w:rsidR="00B66054">
          <w:rPr>
            <w:webHidden/>
          </w:rPr>
          <w:tab/>
        </w:r>
        <w:r w:rsidR="00B66054">
          <w:rPr>
            <w:webHidden/>
          </w:rPr>
          <w:fldChar w:fldCharType="begin"/>
        </w:r>
        <w:r w:rsidR="00B66054">
          <w:rPr>
            <w:webHidden/>
          </w:rPr>
          <w:instrText xml:space="preserve"> PAGEREF _Toc438469086 \h </w:instrText>
        </w:r>
        <w:r w:rsidR="00B66054">
          <w:rPr>
            <w:webHidden/>
          </w:rPr>
        </w:r>
        <w:r w:rsidR="00B66054">
          <w:rPr>
            <w:webHidden/>
          </w:rPr>
          <w:fldChar w:fldCharType="separate"/>
        </w:r>
        <w:r w:rsidR="00B66054">
          <w:rPr>
            <w:webHidden/>
          </w:rPr>
          <w:t>iv</w:t>
        </w:r>
        <w:r w:rsidR="00B66054">
          <w:rPr>
            <w:webHidden/>
          </w:rPr>
          <w:fldChar w:fldCharType="end"/>
        </w:r>
      </w:hyperlink>
    </w:p>
    <w:p w:rsidR="00B66054" w:rsidRDefault="00C65AE2">
      <w:pPr>
        <w:pStyle w:val="TOC1"/>
        <w:rPr>
          <w:rFonts w:asciiTheme="minorHAnsi" w:eastAsiaTheme="minorEastAsia" w:hAnsiTheme="minorHAnsi" w:cstheme="minorBidi"/>
          <w:bCs w:val="0"/>
          <w:sz w:val="22"/>
          <w:szCs w:val="22"/>
        </w:rPr>
      </w:pPr>
      <w:hyperlink w:anchor="_Toc438469087" w:history="1">
        <w:r w:rsidR="00B66054" w:rsidRPr="00876048">
          <w:rPr>
            <w:rStyle w:val="Hyperlink"/>
          </w:rPr>
          <w:t>Section 1. General Measure &amp; Baseline Data</w:t>
        </w:r>
        <w:r w:rsidR="00B66054">
          <w:rPr>
            <w:webHidden/>
          </w:rPr>
          <w:tab/>
        </w:r>
        <w:r w:rsidR="00B66054">
          <w:rPr>
            <w:webHidden/>
          </w:rPr>
          <w:fldChar w:fldCharType="begin"/>
        </w:r>
        <w:r w:rsidR="00B66054">
          <w:rPr>
            <w:webHidden/>
          </w:rPr>
          <w:instrText xml:space="preserve"> PAGEREF _Toc438469087 \h </w:instrText>
        </w:r>
        <w:r w:rsidR="00B66054">
          <w:rPr>
            <w:webHidden/>
          </w:rPr>
        </w:r>
        <w:r w:rsidR="00B66054">
          <w:rPr>
            <w:webHidden/>
          </w:rPr>
          <w:fldChar w:fldCharType="separate"/>
        </w:r>
        <w:r w:rsidR="00B66054">
          <w:rPr>
            <w:webHidden/>
          </w:rPr>
          <w:t>1</w:t>
        </w:r>
        <w:r w:rsidR="00B66054">
          <w:rPr>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88" w:history="1">
        <w:r w:rsidR="00B66054" w:rsidRPr="00876048">
          <w:rPr>
            <w:rStyle w:val="Hyperlink"/>
            <w:noProof/>
          </w:rPr>
          <w:t>1.1 Measure Description &amp; Background</w:t>
        </w:r>
        <w:r w:rsidR="00B66054">
          <w:rPr>
            <w:noProof/>
            <w:webHidden/>
          </w:rPr>
          <w:tab/>
        </w:r>
        <w:r w:rsidR="00B66054">
          <w:rPr>
            <w:noProof/>
            <w:webHidden/>
          </w:rPr>
          <w:fldChar w:fldCharType="begin"/>
        </w:r>
        <w:r w:rsidR="00B66054">
          <w:rPr>
            <w:noProof/>
            <w:webHidden/>
          </w:rPr>
          <w:instrText xml:space="preserve"> PAGEREF _Toc438469088 \h </w:instrText>
        </w:r>
        <w:r w:rsidR="00B66054">
          <w:rPr>
            <w:noProof/>
            <w:webHidden/>
          </w:rPr>
        </w:r>
        <w:r w:rsidR="00B66054">
          <w:rPr>
            <w:noProof/>
            <w:webHidden/>
          </w:rPr>
          <w:fldChar w:fldCharType="separate"/>
        </w:r>
        <w:r w:rsidR="00B66054">
          <w:rPr>
            <w:noProof/>
            <w:webHidden/>
          </w:rPr>
          <w:t>1</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89" w:history="1">
        <w:r w:rsidR="00B66054" w:rsidRPr="00876048">
          <w:rPr>
            <w:rStyle w:val="Hyperlink"/>
            <w:noProof/>
          </w:rPr>
          <w:t>1.3 Measure Application Type</w:t>
        </w:r>
        <w:r w:rsidR="00B66054">
          <w:rPr>
            <w:noProof/>
            <w:webHidden/>
          </w:rPr>
          <w:tab/>
        </w:r>
        <w:r w:rsidR="00B66054">
          <w:rPr>
            <w:noProof/>
            <w:webHidden/>
          </w:rPr>
          <w:fldChar w:fldCharType="begin"/>
        </w:r>
        <w:r w:rsidR="00B66054">
          <w:rPr>
            <w:noProof/>
            <w:webHidden/>
          </w:rPr>
          <w:instrText xml:space="preserve"> PAGEREF _Toc438469089 \h </w:instrText>
        </w:r>
        <w:r w:rsidR="00B66054">
          <w:rPr>
            <w:noProof/>
            <w:webHidden/>
          </w:rPr>
        </w:r>
        <w:r w:rsidR="00B66054">
          <w:rPr>
            <w:noProof/>
            <w:webHidden/>
          </w:rPr>
          <w:fldChar w:fldCharType="separate"/>
        </w:r>
        <w:r w:rsidR="00B66054">
          <w:rPr>
            <w:noProof/>
            <w:webHidden/>
          </w:rPr>
          <w:t>3</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90" w:history="1">
        <w:r w:rsidR="00B66054" w:rsidRPr="00876048">
          <w:rPr>
            <w:rStyle w:val="Hyperlink"/>
            <w:noProof/>
          </w:rPr>
          <w:t>1.4 Product Base Case and Measure Case Data</w:t>
        </w:r>
        <w:r w:rsidR="00B66054">
          <w:rPr>
            <w:noProof/>
            <w:webHidden/>
          </w:rPr>
          <w:tab/>
        </w:r>
        <w:r w:rsidR="00B66054">
          <w:rPr>
            <w:noProof/>
            <w:webHidden/>
          </w:rPr>
          <w:fldChar w:fldCharType="begin"/>
        </w:r>
        <w:r w:rsidR="00B66054">
          <w:rPr>
            <w:noProof/>
            <w:webHidden/>
          </w:rPr>
          <w:instrText xml:space="preserve"> PAGEREF _Toc438469090 \h </w:instrText>
        </w:r>
        <w:r w:rsidR="00B66054">
          <w:rPr>
            <w:noProof/>
            <w:webHidden/>
          </w:rPr>
        </w:r>
        <w:r w:rsidR="00B66054">
          <w:rPr>
            <w:noProof/>
            <w:webHidden/>
          </w:rPr>
          <w:fldChar w:fldCharType="separate"/>
        </w:r>
        <w:r w:rsidR="00B66054">
          <w:rPr>
            <w:noProof/>
            <w:webHidden/>
          </w:rPr>
          <w:t>3</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91" w:history="1">
        <w:r w:rsidR="00B66054" w:rsidRPr="00876048">
          <w:rPr>
            <w:rStyle w:val="Hyperlink"/>
            <w:noProof/>
          </w:rPr>
          <w:t>1.4.1 DEER Base Case and Measure Case Information</w:t>
        </w:r>
        <w:r w:rsidR="00B66054">
          <w:rPr>
            <w:noProof/>
            <w:webHidden/>
          </w:rPr>
          <w:tab/>
        </w:r>
        <w:r w:rsidR="00B66054">
          <w:rPr>
            <w:noProof/>
            <w:webHidden/>
          </w:rPr>
          <w:fldChar w:fldCharType="begin"/>
        </w:r>
        <w:r w:rsidR="00B66054">
          <w:rPr>
            <w:noProof/>
            <w:webHidden/>
          </w:rPr>
          <w:instrText xml:space="preserve"> PAGEREF _Toc438469091 \h </w:instrText>
        </w:r>
        <w:r w:rsidR="00B66054">
          <w:rPr>
            <w:noProof/>
            <w:webHidden/>
          </w:rPr>
        </w:r>
        <w:r w:rsidR="00B66054">
          <w:rPr>
            <w:noProof/>
            <w:webHidden/>
          </w:rPr>
          <w:fldChar w:fldCharType="separate"/>
        </w:r>
        <w:r w:rsidR="00B66054">
          <w:rPr>
            <w:noProof/>
            <w:webHidden/>
          </w:rPr>
          <w:t>3</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92" w:history="1">
        <w:r w:rsidR="00B66054" w:rsidRPr="00876048">
          <w:rPr>
            <w:rStyle w:val="Hyperlink"/>
            <w:noProof/>
          </w:rPr>
          <w:t>1.4.2 Codes &amp; Standards Requirements Base Case and Measure Information</w:t>
        </w:r>
        <w:r w:rsidR="00B66054">
          <w:rPr>
            <w:noProof/>
            <w:webHidden/>
          </w:rPr>
          <w:tab/>
        </w:r>
        <w:r w:rsidR="00B66054">
          <w:rPr>
            <w:noProof/>
            <w:webHidden/>
          </w:rPr>
          <w:fldChar w:fldCharType="begin"/>
        </w:r>
        <w:r w:rsidR="00B66054">
          <w:rPr>
            <w:noProof/>
            <w:webHidden/>
          </w:rPr>
          <w:instrText xml:space="preserve"> PAGEREF _Toc438469092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93" w:history="1">
        <w:r w:rsidR="00B66054" w:rsidRPr="00876048">
          <w:rPr>
            <w:rStyle w:val="Hyperlink"/>
            <w:noProof/>
          </w:rPr>
          <w:t>1.4.3 EM&amp;V, Market Potential, and Other Studies – Base Case and Measure Case Information</w:t>
        </w:r>
        <w:r w:rsidR="00B66054">
          <w:rPr>
            <w:noProof/>
            <w:webHidden/>
          </w:rPr>
          <w:tab/>
        </w:r>
        <w:r w:rsidR="00B66054">
          <w:rPr>
            <w:noProof/>
            <w:webHidden/>
          </w:rPr>
          <w:fldChar w:fldCharType="begin"/>
        </w:r>
        <w:r w:rsidR="00B66054">
          <w:rPr>
            <w:noProof/>
            <w:webHidden/>
          </w:rPr>
          <w:instrText xml:space="preserve"> PAGEREF _Toc438469093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94" w:history="1">
        <w:r w:rsidR="00B66054" w:rsidRPr="00876048">
          <w:rPr>
            <w:rStyle w:val="Hyperlink"/>
            <w:noProof/>
          </w:rPr>
          <w:t>1.4.4 Assumptions and Calculations from other sources—Base and Measure Cases</w:t>
        </w:r>
        <w:r w:rsidR="00B66054">
          <w:rPr>
            <w:noProof/>
            <w:webHidden/>
          </w:rPr>
          <w:tab/>
        </w:r>
        <w:r w:rsidR="00B66054">
          <w:rPr>
            <w:noProof/>
            <w:webHidden/>
          </w:rPr>
          <w:fldChar w:fldCharType="begin"/>
        </w:r>
        <w:r w:rsidR="00B66054">
          <w:rPr>
            <w:noProof/>
            <w:webHidden/>
          </w:rPr>
          <w:instrText xml:space="preserve"> PAGEREF _Toc438469094 \h </w:instrText>
        </w:r>
        <w:r w:rsidR="00B66054">
          <w:rPr>
            <w:noProof/>
            <w:webHidden/>
          </w:rPr>
        </w:r>
        <w:r w:rsidR="00B66054">
          <w:rPr>
            <w:noProof/>
            <w:webHidden/>
          </w:rPr>
          <w:fldChar w:fldCharType="separate"/>
        </w:r>
        <w:r w:rsidR="00B66054">
          <w:rPr>
            <w:noProof/>
            <w:webHidden/>
          </w:rPr>
          <w:t>7</w:t>
        </w:r>
        <w:r w:rsidR="00B66054">
          <w:rPr>
            <w:noProof/>
            <w:webHidden/>
          </w:rPr>
          <w:fldChar w:fldCharType="end"/>
        </w:r>
      </w:hyperlink>
    </w:p>
    <w:p w:rsidR="00B66054" w:rsidRDefault="00C65AE2">
      <w:pPr>
        <w:pStyle w:val="TOC1"/>
        <w:rPr>
          <w:rFonts w:asciiTheme="minorHAnsi" w:eastAsiaTheme="minorEastAsia" w:hAnsiTheme="minorHAnsi" w:cstheme="minorBidi"/>
          <w:bCs w:val="0"/>
          <w:sz w:val="22"/>
          <w:szCs w:val="22"/>
        </w:rPr>
      </w:pPr>
      <w:hyperlink w:anchor="_Toc438469095" w:history="1">
        <w:r w:rsidR="00B66054" w:rsidRPr="00876048">
          <w:rPr>
            <w:rStyle w:val="Hyperlink"/>
          </w:rPr>
          <w:t>Section 2. Calculation Methods</w:t>
        </w:r>
        <w:r w:rsidR="00B66054">
          <w:rPr>
            <w:webHidden/>
          </w:rPr>
          <w:tab/>
        </w:r>
        <w:r w:rsidR="00B66054">
          <w:rPr>
            <w:webHidden/>
          </w:rPr>
          <w:fldChar w:fldCharType="begin"/>
        </w:r>
        <w:r w:rsidR="00B66054">
          <w:rPr>
            <w:webHidden/>
          </w:rPr>
          <w:instrText xml:space="preserve"> PAGEREF _Toc438469095 \h </w:instrText>
        </w:r>
        <w:r w:rsidR="00B66054">
          <w:rPr>
            <w:webHidden/>
          </w:rPr>
        </w:r>
        <w:r w:rsidR="00B66054">
          <w:rPr>
            <w:webHidden/>
          </w:rPr>
          <w:fldChar w:fldCharType="separate"/>
        </w:r>
        <w:r w:rsidR="00B66054">
          <w:rPr>
            <w:webHidden/>
          </w:rPr>
          <w:t>8</w:t>
        </w:r>
        <w:r w:rsidR="00B66054">
          <w:rPr>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96" w:history="1">
        <w:r w:rsidR="00B66054" w:rsidRPr="00876048">
          <w:rPr>
            <w:rStyle w:val="Hyperlink"/>
            <w:noProof/>
          </w:rPr>
          <w:t>2.1 Electric Energy Savings Estimation Methodologies</w:t>
        </w:r>
        <w:r w:rsidR="00B66054">
          <w:rPr>
            <w:noProof/>
            <w:webHidden/>
          </w:rPr>
          <w:tab/>
        </w:r>
        <w:r w:rsidR="00B66054">
          <w:rPr>
            <w:noProof/>
            <w:webHidden/>
          </w:rPr>
          <w:fldChar w:fldCharType="begin"/>
        </w:r>
        <w:r w:rsidR="00B66054">
          <w:rPr>
            <w:noProof/>
            <w:webHidden/>
          </w:rPr>
          <w:instrText xml:space="preserve"> PAGEREF _Toc438469096 \h </w:instrText>
        </w:r>
        <w:r w:rsidR="00B66054">
          <w:rPr>
            <w:noProof/>
            <w:webHidden/>
          </w:rPr>
        </w:r>
        <w:r w:rsidR="00B66054">
          <w:rPr>
            <w:noProof/>
            <w:webHidden/>
          </w:rPr>
          <w:fldChar w:fldCharType="separate"/>
        </w:r>
        <w:r w:rsidR="00B66054">
          <w:rPr>
            <w:noProof/>
            <w:webHidden/>
          </w:rPr>
          <w:t>8</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97" w:history="1">
        <w:r w:rsidR="00B66054" w:rsidRPr="00876048">
          <w:rPr>
            <w:rStyle w:val="Hyperlink"/>
            <w:noProof/>
          </w:rPr>
          <w:t>2.2. Demand Reduction Estimation Methodologies</w:t>
        </w:r>
        <w:r w:rsidR="00B66054">
          <w:rPr>
            <w:noProof/>
            <w:webHidden/>
          </w:rPr>
          <w:tab/>
        </w:r>
        <w:r w:rsidR="00B66054">
          <w:rPr>
            <w:noProof/>
            <w:webHidden/>
          </w:rPr>
          <w:fldChar w:fldCharType="begin"/>
        </w:r>
        <w:r w:rsidR="00B66054">
          <w:rPr>
            <w:noProof/>
            <w:webHidden/>
          </w:rPr>
          <w:instrText xml:space="preserve"> PAGEREF _Toc438469097 \h </w:instrText>
        </w:r>
        <w:r w:rsidR="00B66054">
          <w:rPr>
            <w:noProof/>
            <w:webHidden/>
          </w:rPr>
        </w:r>
        <w:r w:rsidR="00B66054">
          <w:rPr>
            <w:noProof/>
            <w:webHidden/>
          </w:rPr>
          <w:fldChar w:fldCharType="separate"/>
        </w:r>
        <w:r w:rsidR="00B66054">
          <w:rPr>
            <w:noProof/>
            <w:webHidden/>
          </w:rPr>
          <w:t>8</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098" w:history="1">
        <w:r w:rsidR="00B66054" w:rsidRPr="00876048">
          <w:rPr>
            <w:rStyle w:val="Hyperlink"/>
            <w:noProof/>
          </w:rPr>
          <w:t>2.3. Gas Energy Savings Estimation Methodologies</w:t>
        </w:r>
        <w:r w:rsidR="00B66054">
          <w:rPr>
            <w:noProof/>
            <w:webHidden/>
          </w:rPr>
          <w:tab/>
        </w:r>
        <w:r w:rsidR="00B66054">
          <w:rPr>
            <w:noProof/>
            <w:webHidden/>
          </w:rPr>
          <w:fldChar w:fldCharType="begin"/>
        </w:r>
        <w:r w:rsidR="00B66054">
          <w:rPr>
            <w:noProof/>
            <w:webHidden/>
          </w:rPr>
          <w:instrText xml:space="preserve"> PAGEREF _Toc438469098 \h </w:instrText>
        </w:r>
        <w:r w:rsidR="00B66054">
          <w:rPr>
            <w:noProof/>
            <w:webHidden/>
          </w:rPr>
        </w:r>
        <w:r w:rsidR="00B66054">
          <w:rPr>
            <w:noProof/>
            <w:webHidden/>
          </w:rPr>
          <w:fldChar w:fldCharType="separate"/>
        </w:r>
        <w:r w:rsidR="00B66054">
          <w:rPr>
            <w:noProof/>
            <w:webHidden/>
          </w:rPr>
          <w:t>8</w:t>
        </w:r>
        <w:r w:rsidR="00B66054">
          <w:rPr>
            <w:noProof/>
            <w:webHidden/>
          </w:rPr>
          <w:fldChar w:fldCharType="end"/>
        </w:r>
      </w:hyperlink>
    </w:p>
    <w:p w:rsidR="00B66054" w:rsidRDefault="00C65AE2">
      <w:pPr>
        <w:pStyle w:val="TOC1"/>
        <w:rPr>
          <w:rFonts w:asciiTheme="minorHAnsi" w:eastAsiaTheme="minorEastAsia" w:hAnsiTheme="minorHAnsi" w:cstheme="minorBidi"/>
          <w:bCs w:val="0"/>
          <w:sz w:val="22"/>
          <w:szCs w:val="22"/>
        </w:rPr>
      </w:pPr>
      <w:hyperlink w:anchor="_Toc438469099" w:history="1">
        <w:r w:rsidR="00B66054" w:rsidRPr="00876048">
          <w:rPr>
            <w:rStyle w:val="Hyperlink"/>
          </w:rPr>
          <w:t>Section 3. Load Shapes</w:t>
        </w:r>
        <w:r w:rsidR="00B66054">
          <w:rPr>
            <w:webHidden/>
          </w:rPr>
          <w:tab/>
        </w:r>
        <w:r w:rsidR="00B66054">
          <w:rPr>
            <w:webHidden/>
          </w:rPr>
          <w:fldChar w:fldCharType="begin"/>
        </w:r>
        <w:r w:rsidR="00B66054">
          <w:rPr>
            <w:webHidden/>
          </w:rPr>
          <w:instrText xml:space="preserve"> PAGEREF _Toc438469099 \h </w:instrText>
        </w:r>
        <w:r w:rsidR="00B66054">
          <w:rPr>
            <w:webHidden/>
          </w:rPr>
        </w:r>
        <w:r w:rsidR="00B66054">
          <w:rPr>
            <w:webHidden/>
          </w:rPr>
          <w:fldChar w:fldCharType="separate"/>
        </w:r>
        <w:r w:rsidR="00B66054">
          <w:rPr>
            <w:webHidden/>
          </w:rPr>
          <w:t>9</w:t>
        </w:r>
        <w:r w:rsidR="00B66054">
          <w:rPr>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100" w:history="1">
        <w:r w:rsidR="00B66054" w:rsidRPr="00876048">
          <w:rPr>
            <w:rStyle w:val="Hyperlink"/>
            <w:noProof/>
          </w:rPr>
          <w:t>3.1 Base Case Load Shapes</w:t>
        </w:r>
        <w:r w:rsidR="00B66054">
          <w:rPr>
            <w:noProof/>
            <w:webHidden/>
          </w:rPr>
          <w:tab/>
        </w:r>
        <w:r w:rsidR="00B66054">
          <w:rPr>
            <w:noProof/>
            <w:webHidden/>
          </w:rPr>
          <w:fldChar w:fldCharType="begin"/>
        </w:r>
        <w:r w:rsidR="00B66054">
          <w:rPr>
            <w:noProof/>
            <w:webHidden/>
          </w:rPr>
          <w:instrText xml:space="preserve"> PAGEREF _Toc438469100 \h </w:instrText>
        </w:r>
        <w:r w:rsidR="00B66054">
          <w:rPr>
            <w:noProof/>
            <w:webHidden/>
          </w:rPr>
        </w:r>
        <w:r w:rsidR="00B66054">
          <w:rPr>
            <w:noProof/>
            <w:webHidden/>
          </w:rPr>
          <w:fldChar w:fldCharType="separate"/>
        </w:r>
        <w:r w:rsidR="00B66054">
          <w:rPr>
            <w:noProof/>
            <w:webHidden/>
          </w:rPr>
          <w:t>9</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101" w:history="1">
        <w:r w:rsidR="00B66054" w:rsidRPr="00876048">
          <w:rPr>
            <w:rStyle w:val="Hyperlink"/>
            <w:noProof/>
          </w:rPr>
          <w:t>3.2 Measure Load Shapes</w:t>
        </w:r>
        <w:r w:rsidR="00B66054">
          <w:rPr>
            <w:noProof/>
            <w:webHidden/>
          </w:rPr>
          <w:tab/>
        </w:r>
        <w:r w:rsidR="00B66054">
          <w:rPr>
            <w:noProof/>
            <w:webHidden/>
          </w:rPr>
          <w:fldChar w:fldCharType="begin"/>
        </w:r>
        <w:r w:rsidR="00B66054">
          <w:rPr>
            <w:noProof/>
            <w:webHidden/>
          </w:rPr>
          <w:instrText xml:space="preserve"> PAGEREF _Toc438469101 \h </w:instrText>
        </w:r>
        <w:r w:rsidR="00B66054">
          <w:rPr>
            <w:noProof/>
            <w:webHidden/>
          </w:rPr>
        </w:r>
        <w:r w:rsidR="00B66054">
          <w:rPr>
            <w:noProof/>
            <w:webHidden/>
          </w:rPr>
          <w:fldChar w:fldCharType="separate"/>
        </w:r>
        <w:r w:rsidR="00B66054">
          <w:rPr>
            <w:noProof/>
            <w:webHidden/>
          </w:rPr>
          <w:t>9</w:t>
        </w:r>
        <w:r w:rsidR="00B66054">
          <w:rPr>
            <w:noProof/>
            <w:webHidden/>
          </w:rPr>
          <w:fldChar w:fldCharType="end"/>
        </w:r>
      </w:hyperlink>
    </w:p>
    <w:p w:rsidR="00B66054" w:rsidRDefault="00C65AE2">
      <w:pPr>
        <w:pStyle w:val="TOC1"/>
        <w:rPr>
          <w:rFonts w:asciiTheme="minorHAnsi" w:eastAsiaTheme="minorEastAsia" w:hAnsiTheme="minorHAnsi" w:cstheme="minorBidi"/>
          <w:bCs w:val="0"/>
          <w:sz w:val="22"/>
          <w:szCs w:val="22"/>
        </w:rPr>
      </w:pPr>
      <w:hyperlink w:anchor="_Toc438469102" w:history="1">
        <w:r w:rsidR="00B66054" w:rsidRPr="00876048">
          <w:rPr>
            <w:rStyle w:val="Hyperlink"/>
          </w:rPr>
          <w:t>Section 4. Base Case &amp; Measure Costs</w:t>
        </w:r>
        <w:r w:rsidR="00B66054">
          <w:rPr>
            <w:webHidden/>
          </w:rPr>
          <w:tab/>
        </w:r>
        <w:r w:rsidR="00B66054">
          <w:rPr>
            <w:webHidden/>
          </w:rPr>
          <w:fldChar w:fldCharType="begin"/>
        </w:r>
        <w:r w:rsidR="00B66054">
          <w:rPr>
            <w:webHidden/>
          </w:rPr>
          <w:instrText xml:space="preserve"> PAGEREF _Toc438469102 \h </w:instrText>
        </w:r>
        <w:r w:rsidR="00B66054">
          <w:rPr>
            <w:webHidden/>
          </w:rPr>
        </w:r>
        <w:r w:rsidR="00B66054">
          <w:rPr>
            <w:webHidden/>
          </w:rPr>
          <w:fldChar w:fldCharType="separate"/>
        </w:r>
        <w:r w:rsidR="00B66054">
          <w:rPr>
            <w:webHidden/>
          </w:rPr>
          <w:t>10</w:t>
        </w:r>
        <w:r w:rsidR="00B66054">
          <w:rPr>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103" w:history="1">
        <w:r w:rsidR="00B66054" w:rsidRPr="00876048">
          <w:rPr>
            <w:rStyle w:val="Hyperlink"/>
            <w:noProof/>
          </w:rPr>
          <w:t>4.1 Base Case(s) Costs</w:t>
        </w:r>
        <w:r w:rsidR="00B66054">
          <w:rPr>
            <w:noProof/>
            <w:webHidden/>
          </w:rPr>
          <w:tab/>
        </w:r>
        <w:r w:rsidR="00B66054">
          <w:rPr>
            <w:noProof/>
            <w:webHidden/>
          </w:rPr>
          <w:fldChar w:fldCharType="begin"/>
        </w:r>
        <w:r w:rsidR="00B66054">
          <w:rPr>
            <w:noProof/>
            <w:webHidden/>
          </w:rPr>
          <w:instrText xml:space="preserve"> PAGEREF _Toc438469103 \h </w:instrText>
        </w:r>
        <w:r w:rsidR="00B66054">
          <w:rPr>
            <w:noProof/>
            <w:webHidden/>
          </w:rPr>
        </w:r>
        <w:r w:rsidR="00B66054">
          <w:rPr>
            <w:noProof/>
            <w:webHidden/>
          </w:rPr>
          <w:fldChar w:fldCharType="separate"/>
        </w:r>
        <w:r w:rsidR="00B66054">
          <w:rPr>
            <w:noProof/>
            <w:webHidden/>
          </w:rPr>
          <w:t>10</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104" w:history="1">
        <w:r w:rsidR="00B66054" w:rsidRPr="00876048">
          <w:rPr>
            <w:rStyle w:val="Hyperlink"/>
            <w:noProof/>
          </w:rPr>
          <w:t>4.2 Measure Costs</w:t>
        </w:r>
        <w:r w:rsidR="00B66054">
          <w:rPr>
            <w:noProof/>
            <w:webHidden/>
          </w:rPr>
          <w:tab/>
        </w:r>
        <w:r w:rsidR="00B66054">
          <w:rPr>
            <w:noProof/>
            <w:webHidden/>
          </w:rPr>
          <w:fldChar w:fldCharType="begin"/>
        </w:r>
        <w:r w:rsidR="00B66054">
          <w:rPr>
            <w:noProof/>
            <w:webHidden/>
          </w:rPr>
          <w:instrText xml:space="preserve"> PAGEREF _Toc438469104 \h </w:instrText>
        </w:r>
        <w:r w:rsidR="00B66054">
          <w:rPr>
            <w:noProof/>
            <w:webHidden/>
          </w:rPr>
        </w:r>
        <w:r w:rsidR="00B66054">
          <w:rPr>
            <w:noProof/>
            <w:webHidden/>
          </w:rPr>
          <w:fldChar w:fldCharType="separate"/>
        </w:r>
        <w:r w:rsidR="00B66054">
          <w:rPr>
            <w:noProof/>
            <w:webHidden/>
          </w:rPr>
          <w:t>10</w:t>
        </w:r>
        <w:r w:rsidR="00B66054">
          <w:rPr>
            <w:noProof/>
            <w:webHidden/>
          </w:rPr>
          <w:fldChar w:fldCharType="end"/>
        </w:r>
      </w:hyperlink>
    </w:p>
    <w:p w:rsidR="00B66054" w:rsidRDefault="00C65AE2">
      <w:pPr>
        <w:pStyle w:val="TOC2"/>
        <w:tabs>
          <w:tab w:val="right" w:leader="dot" w:pos="9350"/>
        </w:tabs>
        <w:rPr>
          <w:rFonts w:asciiTheme="minorHAnsi" w:eastAsiaTheme="minorEastAsia" w:hAnsiTheme="minorHAnsi" w:cstheme="minorBidi"/>
          <w:noProof/>
          <w:sz w:val="22"/>
          <w:szCs w:val="22"/>
        </w:rPr>
      </w:pPr>
      <w:hyperlink w:anchor="_Toc438469105" w:history="1">
        <w:r w:rsidR="00B66054" w:rsidRPr="00876048">
          <w:rPr>
            <w:rStyle w:val="Hyperlink"/>
            <w:noProof/>
          </w:rPr>
          <w:t>4.3 Incremental &amp; Full Measure Costs</w:t>
        </w:r>
        <w:r w:rsidR="00B66054">
          <w:rPr>
            <w:noProof/>
            <w:webHidden/>
          </w:rPr>
          <w:tab/>
        </w:r>
        <w:r w:rsidR="00B66054">
          <w:rPr>
            <w:noProof/>
            <w:webHidden/>
          </w:rPr>
          <w:fldChar w:fldCharType="begin"/>
        </w:r>
        <w:r w:rsidR="00B66054">
          <w:rPr>
            <w:noProof/>
            <w:webHidden/>
          </w:rPr>
          <w:instrText xml:space="preserve"> PAGEREF _Toc438469105 \h </w:instrText>
        </w:r>
        <w:r w:rsidR="00B66054">
          <w:rPr>
            <w:noProof/>
            <w:webHidden/>
          </w:rPr>
        </w:r>
        <w:r w:rsidR="00B66054">
          <w:rPr>
            <w:noProof/>
            <w:webHidden/>
          </w:rPr>
          <w:fldChar w:fldCharType="separate"/>
        </w:r>
        <w:r w:rsidR="00B66054">
          <w:rPr>
            <w:noProof/>
            <w:webHidden/>
          </w:rPr>
          <w:t>10</w:t>
        </w:r>
        <w:r w:rsidR="00B66054">
          <w:rPr>
            <w:noProof/>
            <w:webHidden/>
          </w:rPr>
          <w:fldChar w:fldCharType="end"/>
        </w:r>
      </w:hyperlink>
    </w:p>
    <w:p w:rsidR="00B66054" w:rsidRDefault="00C65AE2">
      <w:pPr>
        <w:pStyle w:val="TOC1"/>
        <w:rPr>
          <w:rFonts w:asciiTheme="minorHAnsi" w:eastAsiaTheme="minorEastAsia" w:hAnsiTheme="minorHAnsi" w:cstheme="minorBidi"/>
          <w:bCs w:val="0"/>
          <w:sz w:val="22"/>
          <w:szCs w:val="22"/>
        </w:rPr>
      </w:pPr>
      <w:hyperlink w:anchor="_Toc438469106" w:history="1">
        <w:r w:rsidR="00B66054" w:rsidRPr="00876048">
          <w:rPr>
            <w:rStyle w:val="Hyperlink"/>
          </w:rPr>
          <w:t>References</w:t>
        </w:r>
        <w:r w:rsidR="00B66054">
          <w:rPr>
            <w:webHidden/>
          </w:rPr>
          <w:tab/>
        </w:r>
        <w:r w:rsidR="00B66054">
          <w:rPr>
            <w:webHidden/>
          </w:rPr>
          <w:fldChar w:fldCharType="begin"/>
        </w:r>
        <w:r w:rsidR="00B66054">
          <w:rPr>
            <w:webHidden/>
          </w:rPr>
          <w:instrText xml:space="preserve"> PAGEREF _Toc438469106 \h </w:instrText>
        </w:r>
        <w:r w:rsidR="00B66054">
          <w:rPr>
            <w:webHidden/>
          </w:rPr>
        </w:r>
        <w:r w:rsidR="00B66054">
          <w:rPr>
            <w:webHidden/>
          </w:rPr>
          <w:fldChar w:fldCharType="separate"/>
        </w:r>
        <w:r w:rsidR="00B66054">
          <w:rPr>
            <w:webHidden/>
          </w:rPr>
          <w:t>11</w:t>
        </w:r>
        <w:r w:rsidR="00B66054">
          <w:rPr>
            <w:webHidden/>
          </w:rPr>
          <w:fldChar w:fldCharType="end"/>
        </w:r>
      </w:hyperlink>
    </w:p>
    <w:p w:rsidR="000B0167" w:rsidRPr="008A1DA4" w:rsidRDefault="00A47FE3">
      <w:pPr>
        <w:pStyle w:val="Heading1"/>
      </w:pPr>
      <w:r w:rsidRPr="001E474C">
        <w:rPr>
          <w:rFonts w:ascii="Times New Roman" w:hAnsi="Times New Roman" w:cs="Times New Roman"/>
          <w:b w:val="0"/>
          <w:bCs w:val="0"/>
          <w:kern w:val="0"/>
          <w:sz w:val="24"/>
          <w:szCs w:val="24"/>
        </w:rPr>
        <w:fldChar w:fldCharType="end"/>
      </w:r>
      <w:bookmarkStart w:id="6" w:name="_Toc172205729"/>
      <w:bookmarkStart w:id="7" w:name="_Toc438469085"/>
      <w:r w:rsidRPr="008A1DA4">
        <w:t>List of Tables</w:t>
      </w:r>
      <w:bookmarkEnd w:id="6"/>
      <w:bookmarkEnd w:id="7"/>
    </w:p>
    <w:p w:rsidR="00B66054" w:rsidRDefault="00A47FE3">
      <w:pPr>
        <w:pStyle w:val="TableofFigures"/>
        <w:tabs>
          <w:tab w:val="right" w:leader="dot" w:pos="9350"/>
        </w:tabs>
        <w:rPr>
          <w:rFonts w:asciiTheme="minorHAnsi" w:eastAsiaTheme="minorEastAsia" w:hAnsiTheme="minorHAnsi" w:cstheme="minorBidi"/>
          <w:noProof/>
          <w:sz w:val="22"/>
          <w:szCs w:val="22"/>
        </w:rPr>
      </w:pPr>
      <w:r w:rsidRPr="008A1DA4">
        <w:fldChar w:fldCharType="begin"/>
      </w:r>
      <w:r w:rsidRPr="008A1DA4">
        <w:instrText xml:space="preserve"> TOC \h \z \c "Table" </w:instrText>
      </w:r>
      <w:r w:rsidRPr="008A1DA4">
        <w:fldChar w:fldCharType="separate"/>
      </w:r>
      <w:hyperlink w:anchor="_Toc438469107" w:history="1">
        <w:r w:rsidR="00B66054" w:rsidRPr="00D30951">
          <w:rPr>
            <w:rStyle w:val="Hyperlink"/>
            <w:noProof/>
          </w:rPr>
          <w:t>Table 1 Measure Codes and Descriptions</w:t>
        </w:r>
        <w:r w:rsidR="00B66054">
          <w:rPr>
            <w:noProof/>
            <w:webHidden/>
          </w:rPr>
          <w:tab/>
        </w:r>
        <w:r w:rsidR="00B66054">
          <w:rPr>
            <w:noProof/>
            <w:webHidden/>
          </w:rPr>
          <w:fldChar w:fldCharType="begin"/>
        </w:r>
        <w:r w:rsidR="00B66054">
          <w:rPr>
            <w:noProof/>
            <w:webHidden/>
          </w:rPr>
          <w:instrText xml:space="preserve"> PAGEREF _Toc438469107 \h </w:instrText>
        </w:r>
        <w:r w:rsidR="00B66054">
          <w:rPr>
            <w:noProof/>
            <w:webHidden/>
          </w:rPr>
        </w:r>
        <w:r w:rsidR="00B66054">
          <w:rPr>
            <w:noProof/>
            <w:webHidden/>
          </w:rPr>
          <w:fldChar w:fldCharType="separate"/>
        </w:r>
        <w:r w:rsidR="00B66054">
          <w:rPr>
            <w:noProof/>
            <w:webHidden/>
          </w:rPr>
          <w:t>1</w:t>
        </w:r>
        <w:r w:rsidR="00B66054">
          <w:rPr>
            <w:noProof/>
            <w:webHidden/>
          </w:rPr>
          <w:fldChar w:fldCharType="end"/>
        </w:r>
      </w:hyperlink>
    </w:p>
    <w:p w:rsidR="00B66054" w:rsidRDefault="00C65AE2">
      <w:pPr>
        <w:pStyle w:val="TableofFigures"/>
        <w:tabs>
          <w:tab w:val="right" w:leader="dot" w:pos="9350"/>
        </w:tabs>
        <w:rPr>
          <w:rFonts w:asciiTheme="minorHAnsi" w:eastAsiaTheme="minorEastAsia" w:hAnsiTheme="minorHAnsi" w:cstheme="minorBidi"/>
          <w:noProof/>
          <w:sz w:val="22"/>
          <w:szCs w:val="22"/>
        </w:rPr>
      </w:pPr>
      <w:hyperlink w:anchor="_Toc438469108" w:history="1">
        <w:r w:rsidR="00B66054" w:rsidRPr="00D30951">
          <w:rPr>
            <w:rStyle w:val="Hyperlink"/>
            <w:noProof/>
          </w:rPr>
          <w:t>Table 2</w:t>
        </w:r>
        <w:r w:rsidR="00B66054" w:rsidRPr="00D30951">
          <w:rPr>
            <w:rStyle w:val="Hyperlink"/>
            <w:rFonts w:ascii="Calibri" w:hAnsi="Calibri" w:cs="Calibri"/>
            <w:noProof/>
          </w:rPr>
          <w:t xml:space="preserve"> </w:t>
        </w:r>
        <w:r w:rsidR="00B66054" w:rsidRPr="00D30951">
          <w:rPr>
            <w:rStyle w:val="Hyperlink"/>
            <w:rFonts w:cs="Arial"/>
            <w:noProof/>
          </w:rPr>
          <w:t>Measure Application Type</w:t>
        </w:r>
        <w:r w:rsidR="00B66054">
          <w:rPr>
            <w:noProof/>
            <w:webHidden/>
          </w:rPr>
          <w:tab/>
        </w:r>
        <w:r w:rsidR="00B66054">
          <w:rPr>
            <w:noProof/>
            <w:webHidden/>
          </w:rPr>
          <w:fldChar w:fldCharType="begin"/>
        </w:r>
        <w:r w:rsidR="00B66054">
          <w:rPr>
            <w:noProof/>
            <w:webHidden/>
          </w:rPr>
          <w:instrText xml:space="preserve"> PAGEREF _Toc438469108 \h </w:instrText>
        </w:r>
        <w:r w:rsidR="00B66054">
          <w:rPr>
            <w:noProof/>
            <w:webHidden/>
          </w:rPr>
        </w:r>
        <w:r w:rsidR="00B66054">
          <w:rPr>
            <w:noProof/>
            <w:webHidden/>
          </w:rPr>
          <w:fldChar w:fldCharType="separate"/>
        </w:r>
        <w:r w:rsidR="00B66054">
          <w:rPr>
            <w:noProof/>
            <w:webHidden/>
          </w:rPr>
          <w:t>3</w:t>
        </w:r>
        <w:r w:rsidR="00B66054">
          <w:rPr>
            <w:noProof/>
            <w:webHidden/>
          </w:rPr>
          <w:fldChar w:fldCharType="end"/>
        </w:r>
      </w:hyperlink>
    </w:p>
    <w:p w:rsidR="00B66054" w:rsidRDefault="00C65AE2">
      <w:pPr>
        <w:pStyle w:val="TableofFigures"/>
        <w:tabs>
          <w:tab w:val="right" w:leader="dot" w:pos="9350"/>
        </w:tabs>
        <w:rPr>
          <w:rFonts w:asciiTheme="minorHAnsi" w:eastAsiaTheme="minorEastAsia" w:hAnsiTheme="minorHAnsi" w:cstheme="minorBidi"/>
          <w:noProof/>
          <w:sz w:val="22"/>
          <w:szCs w:val="22"/>
        </w:rPr>
      </w:pPr>
      <w:hyperlink w:anchor="_Toc438469109" w:history="1">
        <w:r w:rsidR="00B66054" w:rsidRPr="00D30951">
          <w:rPr>
            <w:rStyle w:val="Hyperlink"/>
            <w:rFonts w:cs="Arial"/>
            <w:noProof/>
          </w:rPr>
          <w:t>Table 3 DEER Net-to-Gross Ratios</w:t>
        </w:r>
        <w:r w:rsidR="00B66054">
          <w:rPr>
            <w:noProof/>
            <w:webHidden/>
          </w:rPr>
          <w:tab/>
        </w:r>
        <w:r w:rsidR="00B66054">
          <w:rPr>
            <w:noProof/>
            <w:webHidden/>
          </w:rPr>
          <w:fldChar w:fldCharType="begin"/>
        </w:r>
        <w:r w:rsidR="00B66054">
          <w:rPr>
            <w:noProof/>
            <w:webHidden/>
          </w:rPr>
          <w:instrText xml:space="preserve"> PAGEREF _Toc438469109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C65AE2">
      <w:pPr>
        <w:pStyle w:val="TableofFigures"/>
        <w:tabs>
          <w:tab w:val="right" w:leader="dot" w:pos="9350"/>
        </w:tabs>
        <w:rPr>
          <w:rFonts w:asciiTheme="minorHAnsi" w:eastAsiaTheme="minorEastAsia" w:hAnsiTheme="minorHAnsi" w:cstheme="minorBidi"/>
          <w:noProof/>
          <w:sz w:val="22"/>
          <w:szCs w:val="22"/>
        </w:rPr>
      </w:pPr>
      <w:hyperlink w:anchor="_Toc438469110" w:history="1">
        <w:r w:rsidR="00B66054" w:rsidRPr="00D30951">
          <w:rPr>
            <w:rStyle w:val="Hyperlink"/>
            <w:noProof/>
          </w:rPr>
          <w:t>Table 4 Installation Rate</w:t>
        </w:r>
        <w:r w:rsidR="00B66054">
          <w:rPr>
            <w:noProof/>
            <w:webHidden/>
          </w:rPr>
          <w:tab/>
        </w:r>
        <w:r w:rsidR="00B66054">
          <w:rPr>
            <w:noProof/>
            <w:webHidden/>
          </w:rPr>
          <w:fldChar w:fldCharType="begin"/>
        </w:r>
        <w:r w:rsidR="00B66054">
          <w:rPr>
            <w:noProof/>
            <w:webHidden/>
          </w:rPr>
          <w:instrText xml:space="preserve"> PAGEREF _Toc438469110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C65AE2">
      <w:pPr>
        <w:pStyle w:val="TableofFigures"/>
        <w:tabs>
          <w:tab w:val="right" w:leader="dot" w:pos="9350"/>
        </w:tabs>
        <w:rPr>
          <w:rFonts w:asciiTheme="minorHAnsi" w:eastAsiaTheme="minorEastAsia" w:hAnsiTheme="minorHAnsi" w:cstheme="minorBidi"/>
          <w:noProof/>
          <w:sz w:val="22"/>
          <w:szCs w:val="22"/>
        </w:rPr>
      </w:pPr>
      <w:hyperlink w:anchor="_Toc438469111" w:history="1">
        <w:r w:rsidR="00B66054" w:rsidRPr="00D30951">
          <w:rPr>
            <w:rStyle w:val="Hyperlink"/>
            <w:noProof/>
          </w:rPr>
          <w:t>Table 5 Effective Useful Life</w:t>
        </w:r>
        <w:r w:rsidR="00B66054">
          <w:rPr>
            <w:noProof/>
            <w:webHidden/>
          </w:rPr>
          <w:tab/>
        </w:r>
        <w:r w:rsidR="00B66054">
          <w:rPr>
            <w:noProof/>
            <w:webHidden/>
          </w:rPr>
          <w:fldChar w:fldCharType="begin"/>
        </w:r>
        <w:r w:rsidR="00B66054">
          <w:rPr>
            <w:noProof/>
            <w:webHidden/>
          </w:rPr>
          <w:instrText xml:space="preserve"> PAGEREF _Toc438469111 \h </w:instrText>
        </w:r>
        <w:r w:rsidR="00B66054">
          <w:rPr>
            <w:noProof/>
            <w:webHidden/>
          </w:rPr>
        </w:r>
        <w:r w:rsidR="00B66054">
          <w:rPr>
            <w:noProof/>
            <w:webHidden/>
          </w:rPr>
          <w:fldChar w:fldCharType="separate"/>
        </w:r>
        <w:r w:rsidR="00B66054">
          <w:rPr>
            <w:noProof/>
            <w:webHidden/>
          </w:rPr>
          <w:t>4</w:t>
        </w:r>
        <w:r w:rsidR="00B66054">
          <w:rPr>
            <w:noProof/>
            <w:webHidden/>
          </w:rPr>
          <w:fldChar w:fldCharType="end"/>
        </w:r>
      </w:hyperlink>
    </w:p>
    <w:p w:rsidR="00B66054" w:rsidRDefault="00C65AE2">
      <w:pPr>
        <w:pStyle w:val="TableofFigures"/>
        <w:tabs>
          <w:tab w:val="right" w:leader="dot" w:pos="9350"/>
        </w:tabs>
        <w:rPr>
          <w:rFonts w:asciiTheme="minorHAnsi" w:eastAsiaTheme="minorEastAsia" w:hAnsiTheme="minorHAnsi" w:cstheme="minorBidi"/>
          <w:noProof/>
          <w:sz w:val="22"/>
          <w:szCs w:val="22"/>
        </w:rPr>
      </w:pPr>
      <w:hyperlink w:anchor="_Toc438469112" w:history="1">
        <w:r w:rsidR="00B66054" w:rsidRPr="00D30951">
          <w:rPr>
            <w:rStyle w:val="Hyperlink"/>
            <w:noProof/>
          </w:rPr>
          <w:t>Table 6 Building Type and Load Shape</w:t>
        </w:r>
        <w:r w:rsidR="00B66054">
          <w:rPr>
            <w:noProof/>
            <w:webHidden/>
          </w:rPr>
          <w:tab/>
        </w:r>
        <w:r w:rsidR="00B66054">
          <w:rPr>
            <w:noProof/>
            <w:webHidden/>
          </w:rPr>
          <w:fldChar w:fldCharType="begin"/>
        </w:r>
        <w:r w:rsidR="00B66054">
          <w:rPr>
            <w:noProof/>
            <w:webHidden/>
          </w:rPr>
          <w:instrText xml:space="preserve"> PAGEREF _Toc438469112 \h </w:instrText>
        </w:r>
        <w:r w:rsidR="00B66054">
          <w:rPr>
            <w:noProof/>
            <w:webHidden/>
          </w:rPr>
        </w:r>
        <w:r w:rsidR="00B66054">
          <w:rPr>
            <w:noProof/>
            <w:webHidden/>
          </w:rPr>
          <w:fldChar w:fldCharType="separate"/>
        </w:r>
        <w:r w:rsidR="00B66054">
          <w:rPr>
            <w:noProof/>
            <w:webHidden/>
          </w:rPr>
          <w:t>9</w:t>
        </w:r>
        <w:r w:rsidR="00B66054">
          <w:rPr>
            <w:noProof/>
            <w:webHidden/>
          </w:rPr>
          <w:fldChar w:fldCharType="end"/>
        </w:r>
      </w:hyperlink>
    </w:p>
    <w:p w:rsidR="000B0167" w:rsidRPr="008A1DA4" w:rsidRDefault="00A47FE3" w:rsidP="007100F8">
      <w:r w:rsidRPr="008A1DA4">
        <w:fldChar w:fldCharType="end"/>
      </w:r>
      <w:r w:rsidRPr="008A1DA4">
        <w:t xml:space="preserve"> </w:t>
      </w:r>
    </w:p>
    <w:p w:rsidR="000B0167" w:rsidRPr="008A1DA4" w:rsidRDefault="00A47FE3">
      <w:pPr>
        <w:pStyle w:val="Heading1"/>
      </w:pPr>
      <w:bookmarkStart w:id="8" w:name="_Toc174179832"/>
      <w:bookmarkStart w:id="9" w:name="_Toc174181292"/>
      <w:bookmarkStart w:id="10" w:name="_Toc438469086"/>
      <w:r w:rsidRPr="008A1DA4">
        <w:t>List of Figures</w:t>
      </w:r>
      <w:bookmarkEnd w:id="8"/>
      <w:bookmarkEnd w:id="9"/>
      <w:bookmarkEnd w:id="10"/>
    </w:p>
    <w:p w:rsidR="00B66054" w:rsidRDefault="00A47FE3">
      <w:pPr>
        <w:pStyle w:val="TableofFigures"/>
        <w:tabs>
          <w:tab w:val="right" w:leader="dot" w:pos="9350"/>
        </w:tabs>
        <w:rPr>
          <w:rFonts w:asciiTheme="minorHAnsi" w:eastAsiaTheme="minorEastAsia" w:hAnsiTheme="minorHAnsi" w:cstheme="minorBidi"/>
          <w:noProof/>
          <w:sz w:val="22"/>
          <w:szCs w:val="22"/>
        </w:rPr>
      </w:pPr>
      <w:r w:rsidRPr="008A1DA4">
        <w:fldChar w:fldCharType="begin"/>
      </w:r>
      <w:r w:rsidRPr="008A1DA4">
        <w:instrText xml:space="preserve"> TOC \h \z \c "Figure" </w:instrText>
      </w:r>
      <w:r w:rsidRPr="008A1DA4">
        <w:fldChar w:fldCharType="separate"/>
      </w:r>
      <w:hyperlink w:anchor="_Toc438469079" w:history="1">
        <w:r w:rsidR="00B66054" w:rsidRPr="00C163CA">
          <w:rPr>
            <w:rStyle w:val="Hyperlink"/>
            <w:noProof/>
          </w:rPr>
          <w:t>Figure 1 Initial Lumen Output vs. Power: Manufacturer Specifications and CALiPER</w:t>
        </w:r>
        <w:r w:rsidR="00B66054">
          <w:rPr>
            <w:noProof/>
            <w:webHidden/>
          </w:rPr>
          <w:tab/>
        </w:r>
        <w:r w:rsidR="00B66054">
          <w:rPr>
            <w:noProof/>
            <w:webHidden/>
          </w:rPr>
          <w:fldChar w:fldCharType="begin"/>
        </w:r>
        <w:r w:rsidR="00B66054">
          <w:rPr>
            <w:noProof/>
            <w:webHidden/>
          </w:rPr>
          <w:instrText xml:space="preserve"> PAGEREF _Toc438469079 \h </w:instrText>
        </w:r>
        <w:r w:rsidR="00B66054">
          <w:rPr>
            <w:noProof/>
            <w:webHidden/>
          </w:rPr>
        </w:r>
        <w:r w:rsidR="00B66054">
          <w:rPr>
            <w:noProof/>
            <w:webHidden/>
          </w:rPr>
          <w:fldChar w:fldCharType="separate"/>
        </w:r>
        <w:r w:rsidR="00B66054">
          <w:rPr>
            <w:noProof/>
            <w:webHidden/>
          </w:rPr>
          <w:t>6</w:t>
        </w:r>
        <w:r w:rsidR="00B66054">
          <w:rPr>
            <w:noProof/>
            <w:webHidden/>
          </w:rPr>
          <w:fldChar w:fldCharType="end"/>
        </w:r>
      </w:hyperlink>
    </w:p>
    <w:p w:rsidR="00A47FE3" w:rsidRPr="008A1DA4" w:rsidRDefault="00A47FE3" w:rsidP="007100F8">
      <w:pPr>
        <w:sectPr w:rsidR="00A47FE3" w:rsidRPr="008A1DA4">
          <w:endnotePr>
            <w:numFmt w:val="decimal"/>
          </w:endnotePr>
          <w:pgSz w:w="12240" w:h="15840"/>
          <w:pgMar w:top="1440" w:right="1440" w:bottom="1440" w:left="1440" w:header="720" w:footer="720" w:gutter="0"/>
          <w:pgNumType w:fmt="lowerRoman"/>
          <w:cols w:space="720"/>
          <w:docGrid w:linePitch="360"/>
        </w:sectPr>
      </w:pPr>
      <w:r w:rsidRPr="008A1DA4">
        <w:fldChar w:fldCharType="end"/>
      </w:r>
    </w:p>
    <w:p w:rsidR="000B0167" w:rsidRPr="008A1DA4" w:rsidRDefault="00A47FE3">
      <w:pPr>
        <w:pStyle w:val="Heading1"/>
      </w:pPr>
      <w:bookmarkStart w:id="11" w:name="_Toc438469087"/>
      <w:bookmarkStart w:id="12" w:name="_Toc172205732"/>
      <w:proofErr w:type="gramStart"/>
      <w:r w:rsidRPr="008A1DA4">
        <w:lastRenderedPageBreak/>
        <w:t>Section 1.</w:t>
      </w:r>
      <w:proofErr w:type="gramEnd"/>
      <w:r w:rsidRPr="008A1DA4">
        <w:t xml:space="preserve"> General Measure &amp; Baseline Data</w:t>
      </w:r>
      <w:bookmarkEnd w:id="11"/>
    </w:p>
    <w:p w:rsidR="000B0167" w:rsidRPr="008A1DA4" w:rsidRDefault="00A47FE3">
      <w:pPr>
        <w:pStyle w:val="Heading2"/>
      </w:pPr>
      <w:bookmarkStart w:id="13" w:name="_Toc438469088"/>
      <w:bookmarkEnd w:id="12"/>
      <w:r w:rsidRPr="008A1DA4">
        <w:t>1.1 Measure Description &amp; Background</w:t>
      </w:r>
      <w:bookmarkEnd w:id="13"/>
    </w:p>
    <w:p w:rsidR="000B0167" w:rsidRPr="008A1DA4" w:rsidRDefault="00A47FE3" w:rsidP="007100F8">
      <w:pPr>
        <w:rPr>
          <w:rFonts w:ascii="Arial" w:hAnsi="Arial" w:cs="Arial"/>
          <w:b/>
          <w:i/>
        </w:rPr>
      </w:pPr>
      <w:r w:rsidRPr="008A1DA4">
        <w:rPr>
          <w:rFonts w:ascii="Arial" w:hAnsi="Arial" w:cs="Arial"/>
          <w:b/>
          <w:i/>
        </w:rPr>
        <w:t xml:space="preserve">Catalog Description – </w:t>
      </w:r>
    </w:p>
    <w:p w:rsidR="00D56DC3" w:rsidRPr="008A1DA4" w:rsidRDefault="006749BB" w:rsidP="007100F8">
      <w:r w:rsidRPr="008A1DA4">
        <w:t>Light emitting diode (LED) technology</w:t>
      </w:r>
      <w:r w:rsidR="00687CAD" w:rsidRPr="008A1DA4">
        <w:t xml:space="preserve"> </w:t>
      </w:r>
      <w:r w:rsidRPr="008A1DA4">
        <w:t>has proven to be an effective lighting source that can offer substantial savings over typical high intensity discharge (HID)</w:t>
      </w:r>
      <w:r w:rsidR="00687CAD" w:rsidRPr="008A1DA4">
        <w:t xml:space="preserve"> lighting technologies.</w:t>
      </w:r>
      <w:r w:rsidR="006825F1" w:rsidRPr="008A1DA4">
        <w:t xml:space="preserve"> </w:t>
      </w:r>
      <w:r w:rsidR="00567C20" w:rsidRPr="008A1DA4">
        <w:t>The l</w:t>
      </w:r>
      <w:r w:rsidR="00687CAD" w:rsidRPr="008A1DA4">
        <w:t>ight is easily controllable</w:t>
      </w:r>
      <w:r w:rsidR="00567C20" w:rsidRPr="008A1DA4">
        <w:t xml:space="preserve"> and ca</w:t>
      </w:r>
      <w:r w:rsidR="00687CAD" w:rsidRPr="008A1DA4">
        <w:t xml:space="preserve">n be turned on and off instantly </w:t>
      </w:r>
      <w:r w:rsidR="00567C20" w:rsidRPr="008A1DA4">
        <w:t>or</w:t>
      </w:r>
      <w:r w:rsidR="00687CAD" w:rsidRPr="008A1DA4">
        <w:t xml:space="preserve"> dimmed for added energy savings at dawn and dusk.</w:t>
      </w:r>
      <w:r w:rsidR="006825F1" w:rsidRPr="008A1DA4">
        <w:t xml:space="preserve"> </w:t>
      </w:r>
      <w:r w:rsidR="00687CAD" w:rsidRPr="008A1DA4">
        <w:t>LED streetlights are available from a variety of vendors and offer many advantages over traditional streetlight technologies.</w:t>
      </w:r>
      <w:r w:rsidR="00D56DC3">
        <w:t xml:space="preserve">  Some of the other advantages include:</w:t>
      </w:r>
    </w:p>
    <w:p w:rsidR="000B0167" w:rsidRPr="008A1DA4" w:rsidRDefault="00687CAD" w:rsidP="007100F8">
      <w:pPr>
        <w:numPr>
          <w:ilvl w:val="0"/>
          <w:numId w:val="12"/>
        </w:numPr>
      </w:pPr>
      <w:r w:rsidRPr="008A1DA4">
        <w:t>No mercury or other hazardous chemical and gasses in the LEDs</w:t>
      </w:r>
    </w:p>
    <w:p w:rsidR="000B0167" w:rsidRPr="008A1DA4" w:rsidRDefault="00687CAD" w:rsidP="007100F8">
      <w:pPr>
        <w:numPr>
          <w:ilvl w:val="0"/>
          <w:numId w:val="12"/>
        </w:numPr>
      </w:pPr>
      <w:r w:rsidRPr="008A1DA4">
        <w:t xml:space="preserve">Long lifetimes and highly reliable service, greatly reducing maintenance costs </w:t>
      </w:r>
    </w:p>
    <w:p w:rsidR="000B0167" w:rsidRPr="008A1DA4" w:rsidRDefault="00687CAD" w:rsidP="007100F8">
      <w:pPr>
        <w:numPr>
          <w:ilvl w:val="0"/>
          <w:numId w:val="12"/>
        </w:numPr>
        <w:rPr>
          <w:i/>
        </w:rPr>
      </w:pPr>
      <w:r w:rsidRPr="008A1DA4">
        <w:t xml:space="preserve">White light available in color temperatures from </w:t>
      </w:r>
      <w:r w:rsidR="006777E0" w:rsidRPr="008A1DA4">
        <w:t>“</w:t>
      </w:r>
      <w:r w:rsidRPr="008A1DA4">
        <w:t>warm</w:t>
      </w:r>
      <w:r w:rsidR="006777E0" w:rsidRPr="008A1DA4">
        <w:t>”</w:t>
      </w:r>
      <w:r w:rsidRPr="008A1DA4">
        <w:t xml:space="preserve"> to </w:t>
      </w:r>
      <w:r w:rsidR="006777E0" w:rsidRPr="008A1DA4">
        <w:t>“</w:t>
      </w:r>
      <w:r w:rsidRPr="008A1DA4">
        <w:t>cool</w:t>
      </w:r>
      <w:r w:rsidR="006777E0" w:rsidRPr="008A1DA4">
        <w:t>”</w:t>
      </w:r>
      <w:r w:rsidRPr="008A1DA4">
        <w:t xml:space="preserve"> with high CRI providing high-quality white light.</w:t>
      </w:r>
    </w:p>
    <w:p w:rsidR="00687CAD" w:rsidRPr="008A1DA4" w:rsidRDefault="00687CAD" w:rsidP="007100F8">
      <w:pPr>
        <w:rPr>
          <w:i/>
        </w:rPr>
      </w:pPr>
    </w:p>
    <w:p w:rsidR="00D56DC3" w:rsidRDefault="00D56DC3" w:rsidP="00D56DC3">
      <w:pPr>
        <w:pStyle w:val="Caption"/>
        <w:keepNext/>
        <w:jc w:val="center"/>
      </w:pPr>
      <w:bookmarkStart w:id="14" w:name="_Toc438469107"/>
      <w:r>
        <w:t xml:space="preserve">Table </w:t>
      </w:r>
      <w:r w:rsidR="00C65AE2">
        <w:fldChar w:fldCharType="begin"/>
      </w:r>
      <w:r w:rsidR="00C65AE2">
        <w:instrText xml:space="preserve"> SEQ Table \* ARABIC </w:instrText>
      </w:r>
      <w:r w:rsidR="00C65AE2">
        <w:fldChar w:fldCharType="separate"/>
      </w:r>
      <w:r w:rsidR="00C65AE2">
        <w:rPr>
          <w:noProof/>
        </w:rPr>
        <w:t>1</w:t>
      </w:r>
      <w:r w:rsidR="00C65AE2">
        <w:rPr>
          <w:noProof/>
        </w:rPr>
        <w:fldChar w:fldCharType="end"/>
      </w:r>
      <w:r>
        <w:t xml:space="preserve"> Measure Codes and Descriptions</w:t>
      </w:r>
      <w:bookmarkEnd w:id="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55"/>
        <w:gridCol w:w="5130"/>
      </w:tblGrid>
      <w:tr w:rsidR="00567C20" w:rsidRPr="00D56DC3" w:rsidTr="00D56DC3">
        <w:trPr>
          <w:trHeight w:val="260"/>
          <w:jc w:val="center"/>
        </w:trPr>
        <w:tc>
          <w:tcPr>
            <w:tcW w:w="1555" w:type="dxa"/>
            <w:shd w:val="clear" w:color="auto" w:fill="D9D9D9" w:themeFill="background1" w:themeFillShade="D9"/>
            <w:vAlign w:val="center"/>
          </w:tcPr>
          <w:p w:rsidR="00567C20" w:rsidRPr="00D56DC3" w:rsidRDefault="00567C20" w:rsidP="00D56DC3">
            <w:pPr>
              <w:jc w:val="center"/>
              <w:rPr>
                <w:b/>
                <w:sz w:val="20"/>
                <w:szCs w:val="20"/>
              </w:rPr>
            </w:pPr>
            <w:r w:rsidRPr="00D56DC3">
              <w:rPr>
                <w:b/>
                <w:sz w:val="20"/>
                <w:szCs w:val="20"/>
              </w:rPr>
              <w:t>Measure Code</w:t>
            </w:r>
          </w:p>
        </w:tc>
        <w:tc>
          <w:tcPr>
            <w:tcW w:w="5130" w:type="dxa"/>
            <w:shd w:val="clear" w:color="auto" w:fill="D9D9D9" w:themeFill="background1" w:themeFillShade="D9"/>
            <w:vAlign w:val="center"/>
          </w:tcPr>
          <w:p w:rsidR="00567C20" w:rsidRPr="00D56DC3" w:rsidRDefault="00567C20" w:rsidP="00D56DC3">
            <w:pPr>
              <w:rPr>
                <w:b/>
                <w:sz w:val="20"/>
                <w:szCs w:val="20"/>
              </w:rPr>
            </w:pPr>
            <w:r w:rsidRPr="00D56DC3">
              <w:rPr>
                <w:b/>
                <w:sz w:val="20"/>
                <w:szCs w:val="20"/>
              </w:rPr>
              <w:t>Measure Description</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LT007</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501-750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LT008</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266-500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LT009</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226-265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LT010</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193-225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LT011</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151-192 W Fixture</w:t>
            </w:r>
          </w:p>
        </w:tc>
      </w:tr>
      <w:tr w:rsidR="00255671" w:rsidRPr="00D56DC3" w:rsidTr="00D56DC3">
        <w:trPr>
          <w:jc w:val="center"/>
        </w:trPr>
        <w:tc>
          <w:tcPr>
            <w:tcW w:w="1555" w:type="dxa"/>
            <w:shd w:val="clear" w:color="auto" w:fill="auto"/>
            <w:vAlign w:val="center"/>
          </w:tcPr>
          <w:p w:rsidR="00255671" w:rsidRPr="00D56DC3" w:rsidRDefault="00255671" w:rsidP="00D56DC3">
            <w:pPr>
              <w:jc w:val="center"/>
              <w:rPr>
                <w:sz w:val="20"/>
                <w:szCs w:val="20"/>
              </w:rPr>
            </w:pPr>
            <w:r w:rsidRPr="00D56DC3">
              <w:rPr>
                <w:sz w:val="20"/>
                <w:szCs w:val="20"/>
              </w:rPr>
              <w:t>LT012</w:t>
            </w:r>
          </w:p>
        </w:tc>
        <w:tc>
          <w:tcPr>
            <w:tcW w:w="5130" w:type="dxa"/>
            <w:shd w:val="clear" w:color="auto" w:fill="auto"/>
            <w:vAlign w:val="center"/>
          </w:tcPr>
          <w:p w:rsidR="00255671" w:rsidRPr="00D56DC3" w:rsidRDefault="00255671" w:rsidP="00D56DC3">
            <w:pPr>
              <w:rPr>
                <w:color w:val="000000"/>
                <w:sz w:val="20"/>
                <w:szCs w:val="20"/>
              </w:rPr>
            </w:pPr>
            <w:r w:rsidRPr="00D56DC3">
              <w:rPr>
                <w:color w:val="000000"/>
                <w:sz w:val="20"/>
                <w:szCs w:val="20"/>
              </w:rPr>
              <w:t>LED Outdoor Area Lighting - Install 111-150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LT013</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Outdoor Area Lighting - Install 71-110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w:t>
            </w:r>
            <w:r w:rsidR="007719CA" w:rsidRPr="00D56DC3">
              <w:rPr>
                <w:sz w:val="20"/>
                <w:szCs w:val="20"/>
              </w:rPr>
              <w:t>4</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 xml:space="preserve">LED Outdoor Area Lighting - Install </w:t>
            </w:r>
            <w:r w:rsidR="007719CA" w:rsidRPr="00D56DC3">
              <w:rPr>
                <w:color w:val="000000"/>
                <w:sz w:val="20"/>
                <w:szCs w:val="20"/>
              </w:rPr>
              <w:t>5</w:t>
            </w:r>
            <w:r w:rsidRPr="00D56DC3">
              <w:rPr>
                <w:color w:val="000000"/>
                <w:sz w:val="20"/>
                <w:szCs w:val="20"/>
              </w:rPr>
              <w:t>1-</w:t>
            </w:r>
            <w:r w:rsidR="007719CA" w:rsidRPr="00D56DC3">
              <w:rPr>
                <w:color w:val="000000"/>
                <w:sz w:val="20"/>
                <w:szCs w:val="20"/>
              </w:rPr>
              <w:t>70</w:t>
            </w:r>
            <w:r w:rsidRPr="00D56DC3">
              <w:rPr>
                <w:color w:val="000000"/>
                <w:sz w:val="20"/>
                <w:szCs w:val="20"/>
              </w:rPr>
              <w:t xml:space="preserve">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w:t>
            </w:r>
            <w:r w:rsidR="007719CA" w:rsidRPr="00D56DC3">
              <w:rPr>
                <w:sz w:val="20"/>
                <w:szCs w:val="20"/>
              </w:rPr>
              <w:t>5</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 xml:space="preserve">LED Outdoor Area Lighting - Install </w:t>
            </w:r>
            <w:r w:rsidR="007719CA" w:rsidRPr="00D56DC3">
              <w:rPr>
                <w:color w:val="000000"/>
                <w:sz w:val="20"/>
                <w:szCs w:val="20"/>
              </w:rPr>
              <w:t>0</w:t>
            </w:r>
            <w:r w:rsidRPr="00D56DC3">
              <w:rPr>
                <w:color w:val="000000"/>
                <w:sz w:val="20"/>
                <w:szCs w:val="20"/>
              </w:rPr>
              <w:t>-</w:t>
            </w:r>
            <w:r w:rsidR="007719CA" w:rsidRPr="00D56DC3">
              <w:rPr>
                <w:color w:val="000000"/>
                <w:sz w:val="20"/>
                <w:szCs w:val="20"/>
              </w:rPr>
              <w:t>50</w:t>
            </w:r>
            <w:r w:rsidRPr="00D56DC3">
              <w:rPr>
                <w:color w:val="000000"/>
                <w:sz w:val="20"/>
                <w:szCs w:val="20"/>
              </w:rPr>
              <w:t xml:space="preserve">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w:t>
            </w:r>
            <w:r w:rsidR="007719CA" w:rsidRPr="00D56DC3">
              <w:rPr>
                <w:sz w:val="20"/>
                <w:szCs w:val="20"/>
              </w:rPr>
              <w:t>6</w:t>
            </w:r>
          </w:p>
        </w:tc>
        <w:tc>
          <w:tcPr>
            <w:tcW w:w="5130" w:type="dxa"/>
            <w:shd w:val="clear" w:color="auto" w:fill="auto"/>
            <w:vAlign w:val="center"/>
          </w:tcPr>
          <w:p w:rsidR="00AA2127" w:rsidRPr="00D56DC3" w:rsidRDefault="007719CA" w:rsidP="00D56DC3">
            <w:pPr>
              <w:rPr>
                <w:color w:val="000000"/>
                <w:sz w:val="20"/>
                <w:szCs w:val="20"/>
              </w:rPr>
            </w:pPr>
            <w:r w:rsidRPr="00D56DC3">
              <w:rPr>
                <w:color w:val="000000"/>
                <w:sz w:val="20"/>
                <w:szCs w:val="20"/>
              </w:rPr>
              <w:t>LED Street Lighting</w:t>
            </w:r>
            <w:r w:rsidR="00AA2127" w:rsidRPr="00D56DC3">
              <w:rPr>
                <w:color w:val="000000"/>
                <w:sz w:val="20"/>
                <w:szCs w:val="20"/>
              </w:rPr>
              <w:t xml:space="preserve"> - Install </w:t>
            </w:r>
            <w:r w:rsidRPr="00D56DC3">
              <w:rPr>
                <w:color w:val="000000"/>
                <w:sz w:val="20"/>
                <w:szCs w:val="20"/>
              </w:rPr>
              <w:t>501-750</w:t>
            </w:r>
            <w:r w:rsidR="00AA2127" w:rsidRPr="00D56DC3">
              <w:rPr>
                <w:color w:val="000000"/>
                <w:sz w:val="20"/>
                <w:szCs w:val="20"/>
              </w:rPr>
              <w:t xml:space="preserve">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LT017</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266-500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LT018</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226-265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LT019</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193-225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LT020</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151-192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LT021</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111-150 W Fixture</w:t>
            </w:r>
          </w:p>
        </w:tc>
      </w:tr>
      <w:tr w:rsidR="00AA2127" w:rsidRPr="00D56DC3" w:rsidTr="00D56DC3">
        <w:trPr>
          <w:jc w:val="center"/>
        </w:trPr>
        <w:tc>
          <w:tcPr>
            <w:tcW w:w="1555" w:type="dxa"/>
            <w:shd w:val="clear" w:color="auto" w:fill="auto"/>
            <w:vAlign w:val="center"/>
          </w:tcPr>
          <w:p w:rsidR="00AA2127" w:rsidRPr="00D56DC3" w:rsidRDefault="00AA2127" w:rsidP="00D56DC3">
            <w:pPr>
              <w:jc w:val="center"/>
              <w:rPr>
                <w:sz w:val="20"/>
                <w:szCs w:val="20"/>
              </w:rPr>
            </w:pPr>
            <w:r w:rsidRPr="00D56DC3">
              <w:rPr>
                <w:sz w:val="20"/>
                <w:szCs w:val="20"/>
              </w:rPr>
              <w:t>LT022</w:t>
            </w:r>
          </w:p>
        </w:tc>
        <w:tc>
          <w:tcPr>
            <w:tcW w:w="5130" w:type="dxa"/>
            <w:shd w:val="clear" w:color="auto" w:fill="auto"/>
            <w:vAlign w:val="center"/>
          </w:tcPr>
          <w:p w:rsidR="00AA2127" w:rsidRPr="00D56DC3" w:rsidRDefault="00AA2127" w:rsidP="00D56DC3">
            <w:pPr>
              <w:rPr>
                <w:color w:val="000000"/>
                <w:sz w:val="20"/>
                <w:szCs w:val="20"/>
              </w:rPr>
            </w:pPr>
            <w:r w:rsidRPr="00D56DC3">
              <w:rPr>
                <w:color w:val="000000"/>
                <w:sz w:val="20"/>
                <w:szCs w:val="20"/>
              </w:rPr>
              <w:t>LED Street Lighting - Install 71-110 W Fixture</w:t>
            </w:r>
          </w:p>
        </w:tc>
      </w:tr>
      <w:tr w:rsidR="007719CA" w:rsidRPr="00D56DC3" w:rsidTr="00D56DC3">
        <w:trPr>
          <w:jc w:val="center"/>
        </w:trPr>
        <w:tc>
          <w:tcPr>
            <w:tcW w:w="1555" w:type="dxa"/>
            <w:shd w:val="clear" w:color="auto" w:fill="auto"/>
            <w:vAlign w:val="center"/>
          </w:tcPr>
          <w:p w:rsidR="007719CA" w:rsidRPr="00D56DC3" w:rsidRDefault="007719CA" w:rsidP="00D56DC3">
            <w:pPr>
              <w:jc w:val="center"/>
              <w:rPr>
                <w:sz w:val="20"/>
                <w:szCs w:val="20"/>
              </w:rPr>
            </w:pPr>
            <w:r w:rsidRPr="00D56DC3">
              <w:rPr>
                <w:sz w:val="20"/>
                <w:szCs w:val="20"/>
              </w:rPr>
              <w:t>LT023</w:t>
            </w:r>
          </w:p>
        </w:tc>
        <w:tc>
          <w:tcPr>
            <w:tcW w:w="5130" w:type="dxa"/>
            <w:shd w:val="clear" w:color="auto" w:fill="auto"/>
            <w:vAlign w:val="center"/>
          </w:tcPr>
          <w:p w:rsidR="007719CA" w:rsidRPr="00D56DC3" w:rsidRDefault="007719CA" w:rsidP="00D56DC3">
            <w:pPr>
              <w:rPr>
                <w:color w:val="000000"/>
                <w:sz w:val="20"/>
                <w:szCs w:val="20"/>
              </w:rPr>
            </w:pPr>
            <w:r w:rsidRPr="00D56DC3">
              <w:rPr>
                <w:color w:val="000000"/>
                <w:sz w:val="20"/>
                <w:szCs w:val="20"/>
              </w:rPr>
              <w:t>LED Street Lighting - Install 51-70 W Fixture</w:t>
            </w:r>
          </w:p>
        </w:tc>
      </w:tr>
      <w:tr w:rsidR="007719CA" w:rsidRPr="00D56DC3" w:rsidTr="00D56DC3">
        <w:trPr>
          <w:jc w:val="center"/>
        </w:trPr>
        <w:tc>
          <w:tcPr>
            <w:tcW w:w="1555" w:type="dxa"/>
            <w:shd w:val="clear" w:color="auto" w:fill="auto"/>
            <w:vAlign w:val="center"/>
          </w:tcPr>
          <w:p w:rsidR="007719CA" w:rsidRPr="00D56DC3" w:rsidRDefault="007719CA" w:rsidP="00D56DC3">
            <w:pPr>
              <w:jc w:val="center"/>
              <w:rPr>
                <w:sz w:val="20"/>
                <w:szCs w:val="20"/>
              </w:rPr>
            </w:pPr>
            <w:r w:rsidRPr="00D56DC3">
              <w:rPr>
                <w:sz w:val="20"/>
                <w:szCs w:val="20"/>
              </w:rPr>
              <w:t>LT024</w:t>
            </w:r>
          </w:p>
        </w:tc>
        <w:tc>
          <w:tcPr>
            <w:tcW w:w="5130" w:type="dxa"/>
            <w:shd w:val="clear" w:color="auto" w:fill="auto"/>
            <w:vAlign w:val="center"/>
          </w:tcPr>
          <w:p w:rsidR="007719CA" w:rsidRPr="00D56DC3" w:rsidRDefault="007719CA" w:rsidP="00D56DC3">
            <w:pPr>
              <w:rPr>
                <w:color w:val="000000"/>
                <w:sz w:val="20"/>
                <w:szCs w:val="20"/>
              </w:rPr>
            </w:pPr>
            <w:r w:rsidRPr="00D56DC3">
              <w:rPr>
                <w:color w:val="000000"/>
                <w:sz w:val="20"/>
                <w:szCs w:val="20"/>
              </w:rPr>
              <w:t>LED Street Lighting - Install 0-50 W Fixture</w:t>
            </w:r>
          </w:p>
        </w:tc>
      </w:tr>
    </w:tbl>
    <w:p w:rsidR="000B0167" w:rsidRPr="008A1DA4" w:rsidRDefault="000B0167" w:rsidP="007100F8"/>
    <w:p w:rsidR="006E3403" w:rsidRPr="0076543F" w:rsidRDefault="006E3403" w:rsidP="006E3403">
      <w:pPr>
        <w:rPr>
          <w:rFonts w:ascii="Arial" w:hAnsi="Arial" w:cs="Arial"/>
          <w:b/>
          <w:i/>
        </w:rPr>
      </w:pPr>
      <w:r w:rsidRPr="0076543F">
        <w:rPr>
          <w:rFonts w:ascii="Arial" w:hAnsi="Arial" w:cs="Arial"/>
          <w:b/>
          <w:i/>
        </w:rPr>
        <w:t>Program Restrictions and Guidelines</w:t>
      </w:r>
    </w:p>
    <w:p w:rsidR="006E3403" w:rsidRPr="008A1DA4" w:rsidRDefault="006E3403" w:rsidP="006E3403">
      <w:r w:rsidRPr="008A1DA4">
        <w:t>To qualify for a rebate, the following requirements must be met:</w:t>
      </w:r>
    </w:p>
    <w:p w:rsidR="006E3403" w:rsidRPr="008A1DA4" w:rsidRDefault="006E3403" w:rsidP="006E3403">
      <w:pPr>
        <w:numPr>
          <w:ilvl w:val="0"/>
          <w:numId w:val="7"/>
        </w:numPr>
      </w:pPr>
      <w:r w:rsidRPr="008A1DA4">
        <w:t>The LEDs must replace high intensity discharge, low pressure sodium, or incandescent lighting.</w:t>
      </w:r>
    </w:p>
    <w:p w:rsidR="006E3403" w:rsidRPr="008A1DA4" w:rsidRDefault="006749BB" w:rsidP="006E3403">
      <w:pPr>
        <w:numPr>
          <w:ilvl w:val="0"/>
          <w:numId w:val="7"/>
        </w:numPr>
      </w:pPr>
      <w:r w:rsidRPr="008A1DA4">
        <w:t>Proposed fixture m</w:t>
      </w:r>
      <w:r w:rsidR="006E3403" w:rsidRPr="008A1DA4">
        <w:t xml:space="preserve">ust be </w:t>
      </w:r>
      <w:r w:rsidR="00F35A08" w:rsidRPr="008A1DA4">
        <w:t>Design Lights Consortium (</w:t>
      </w:r>
      <w:r w:rsidR="006E3403" w:rsidRPr="008A1DA4">
        <w:t>DLC</w:t>
      </w:r>
      <w:r w:rsidR="00F35A08" w:rsidRPr="008A1DA4">
        <w:t>)</w:t>
      </w:r>
      <w:r w:rsidR="006E3403" w:rsidRPr="008A1DA4">
        <w:t xml:space="preserve"> </w:t>
      </w:r>
      <w:r w:rsidRPr="008A1DA4">
        <w:t>listed</w:t>
      </w:r>
      <w:r w:rsidR="006E3403" w:rsidRPr="008A1DA4">
        <w:t>.</w:t>
      </w:r>
      <w:r w:rsidR="003C1EBD">
        <w:rPr>
          <w:rStyle w:val="EndnoteReference"/>
        </w:rPr>
        <w:endnoteReference w:id="2"/>
      </w:r>
    </w:p>
    <w:p w:rsidR="006E3403" w:rsidRPr="008A1DA4" w:rsidRDefault="006E3403" w:rsidP="006E3403">
      <w:pPr>
        <w:numPr>
          <w:ilvl w:val="0"/>
          <w:numId w:val="7"/>
        </w:numPr>
      </w:pPr>
      <w:r w:rsidRPr="008A1DA4">
        <w:t>The pole/arm-mounted area and roadway luminaires must meet a minimum efficacy of 60</w:t>
      </w:r>
      <w:r w:rsidR="00474B71">
        <w:t> </w:t>
      </w:r>
      <w:r w:rsidRPr="008A1DA4">
        <w:t>lumens per watt.</w:t>
      </w:r>
      <w:bookmarkStart w:id="15" w:name="_Ref327854132"/>
      <w:r w:rsidR="003C1EBD">
        <w:rPr>
          <w:rStyle w:val="EndnoteReference"/>
        </w:rPr>
        <w:endnoteReference w:id="3"/>
      </w:r>
      <w:bookmarkEnd w:id="15"/>
    </w:p>
    <w:p w:rsidR="006E3403" w:rsidRPr="008A1DA4" w:rsidRDefault="006E3403" w:rsidP="006E3403">
      <w:pPr>
        <w:numPr>
          <w:ilvl w:val="0"/>
          <w:numId w:val="7"/>
        </w:numPr>
      </w:pPr>
      <w:r w:rsidRPr="008A1DA4">
        <w:t>Luminaire/enclosure type must be certified by NEMA/IEC as wet location for exterior parking, roadway, area, or wall</w:t>
      </w:r>
      <w:r w:rsidR="00474B71">
        <w:t>-</w:t>
      </w:r>
      <w:r w:rsidRPr="008A1DA4">
        <w:t>mounted luminaires and damp (or wet) location for parking garage luminaires.</w:t>
      </w:r>
    </w:p>
    <w:p w:rsidR="006E3403" w:rsidRPr="008A1DA4" w:rsidRDefault="006E3403" w:rsidP="006E3403">
      <w:pPr>
        <w:numPr>
          <w:ilvl w:val="0"/>
          <w:numId w:val="7"/>
        </w:numPr>
      </w:pPr>
      <w:r w:rsidRPr="008A1DA4">
        <w:t xml:space="preserve">Power supply shall have a minimum operating temperature of </w:t>
      </w:r>
      <w:r w:rsidR="003C1EBD">
        <w:t>–</w:t>
      </w:r>
      <w:r w:rsidRPr="008A1DA4">
        <w:t>20°C or below when used in luminaires intended for outdoor applications.</w:t>
      </w:r>
    </w:p>
    <w:p w:rsidR="006E3403" w:rsidRPr="008A1DA4" w:rsidRDefault="006E3403" w:rsidP="006E3403">
      <w:pPr>
        <w:numPr>
          <w:ilvl w:val="0"/>
          <w:numId w:val="7"/>
        </w:numPr>
      </w:pPr>
      <w:r w:rsidRPr="008A1DA4">
        <w:lastRenderedPageBreak/>
        <w:t>Not to exceed the power supply manufacturer</w:t>
      </w:r>
      <w:r w:rsidR="00474B71">
        <w:t>’s</w:t>
      </w:r>
      <w:r w:rsidRPr="008A1DA4">
        <w:t xml:space="preserve"> maximum recommended case temperature or TMP when measured during in-situ operation. </w:t>
      </w:r>
      <w:r w:rsidRPr="008A1DA4">
        <w:rPr>
          <w:b/>
        </w:rPr>
        <w:t>Note:</w:t>
      </w:r>
      <w:r w:rsidRPr="008A1DA4">
        <w:t xml:space="preserve"> This performance characteristic is separate and distinct from thermal requirements established by UL, which governs safety rather than longevity of the power supply.</w:t>
      </w:r>
    </w:p>
    <w:p w:rsidR="006E3403" w:rsidRPr="008A1DA4" w:rsidRDefault="006E3403" w:rsidP="006E3403">
      <w:pPr>
        <w:numPr>
          <w:ilvl w:val="0"/>
          <w:numId w:val="7"/>
        </w:numPr>
      </w:pPr>
      <w:r w:rsidRPr="008A1DA4">
        <w:t>Luminaires must possess a power factor greater than 0.9.</w:t>
      </w:r>
    </w:p>
    <w:p w:rsidR="006E3403" w:rsidRPr="008A1DA4" w:rsidRDefault="006E3403" w:rsidP="006E3403">
      <w:pPr>
        <w:numPr>
          <w:ilvl w:val="0"/>
          <w:numId w:val="7"/>
        </w:numPr>
      </w:pPr>
      <w:r w:rsidRPr="008A1DA4">
        <w:rPr>
          <w:rFonts w:ascii="TimesNewRomanPSMT" w:hAnsi="TimesNewRomanPSMT" w:cs="TimesNewRomanPSMT"/>
        </w:rPr>
        <w:t>The LEDs must possess less than 20% of total harmonic distortion.</w:t>
      </w:r>
    </w:p>
    <w:p w:rsidR="006E3403" w:rsidRPr="008A1DA4" w:rsidRDefault="006E3403" w:rsidP="006E3403">
      <w:pPr>
        <w:numPr>
          <w:ilvl w:val="0"/>
          <w:numId w:val="6"/>
        </w:numPr>
      </w:pPr>
      <w:r w:rsidRPr="008A1DA4">
        <w:t>A written warranty must be issued to the customer guaranteeing repair or replacement of defective electrical parts (including light source and power supplies) for a minimum of five years from the date of purchase.</w:t>
      </w:r>
    </w:p>
    <w:p w:rsidR="006E3403" w:rsidRPr="008A1DA4" w:rsidRDefault="006E3403" w:rsidP="006E3403">
      <w:pPr>
        <w:numPr>
          <w:ilvl w:val="0"/>
          <w:numId w:val="6"/>
        </w:numPr>
        <w:rPr>
          <w:i/>
        </w:rPr>
      </w:pPr>
      <w:r w:rsidRPr="008A1DA4">
        <w:rPr>
          <w:rFonts w:ascii="TimesNewRomanPSMT" w:hAnsi="TimesNewRomanPSMT" w:cs="TimesNewRomanPSMT"/>
        </w:rPr>
        <w:t>A product cut sheet and installation instructions must be provided.</w:t>
      </w:r>
    </w:p>
    <w:p w:rsidR="006E3403" w:rsidRPr="00474B71" w:rsidRDefault="006E3403" w:rsidP="00474B71"/>
    <w:p w:rsidR="006E3403" w:rsidRPr="008A1DA4" w:rsidRDefault="006E3403" w:rsidP="00D56DC3">
      <w:pPr>
        <w:rPr>
          <w:rFonts w:ascii="Arial" w:hAnsi="Arial" w:cs="Arial"/>
          <w:b/>
          <w:i/>
          <w:sz w:val="20"/>
          <w:szCs w:val="20"/>
        </w:rPr>
      </w:pPr>
      <w:r w:rsidRPr="008A1DA4">
        <w:rPr>
          <w:rFonts w:ascii="Arial" w:hAnsi="Arial" w:cs="Arial"/>
          <w:b/>
          <w:i/>
          <w:sz w:val="20"/>
          <w:szCs w:val="20"/>
        </w:rPr>
        <w:t>Terms and Conditions</w:t>
      </w:r>
    </w:p>
    <w:p w:rsidR="006E3403" w:rsidRPr="008A1DA4" w:rsidRDefault="006E3403" w:rsidP="00D56DC3">
      <w:r w:rsidRPr="008A1DA4">
        <w:t xml:space="preserve">The customer must be a PG&amp;E electrical customer served under a streetlight or </w:t>
      </w:r>
      <w:r w:rsidR="00D56DC3">
        <w:t>c</w:t>
      </w:r>
      <w:r w:rsidRPr="008A1DA4">
        <w:t>ommercial/industrial rate schedule.</w:t>
      </w:r>
    </w:p>
    <w:p w:rsidR="006E3403" w:rsidRPr="00474B71" w:rsidRDefault="006E3403" w:rsidP="00D56DC3"/>
    <w:p w:rsidR="006E3403" w:rsidRPr="008A1DA4" w:rsidRDefault="006E3403" w:rsidP="00D56DC3">
      <w:pPr>
        <w:rPr>
          <w:rFonts w:ascii="Arial" w:hAnsi="Arial" w:cs="Arial"/>
          <w:b/>
          <w:i/>
          <w:sz w:val="20"/>
          <w:szCs w:val="20"/>
        </w:rPr>
      </w:pPr>
      <w:r w:rsidRPr="008A1DA4">
        <w:rPr>
          <w:rFonts w:ascii="Arial" w:hAnsi="Arial" w:cs="Arial"/>
          <w:b/>
          <w:i/>
          <w:sz w:val="20"/>
          <w:szCs w:val="20"/>
        </w:rPr>
        <w:t xml:space="preserve">Market Applicability </w:t>
      </w:r>
    </w:p>
    <w:p w:rsidR="006E3403" w:rsidRDefault="006E3403" w:rsidP="00D56DC3">
      <w:r w:rsidRPr="008A1DA4">
        <w:t xml:space="preserve">This measure applies to the Customer-Owned Street and Highway Lighting, Outdoor </w:t>
      </w:r>
      <w:r w:rsidRPr="00474B71">
        <w:t>Area Lighting Service</w:t>
      </w:r>
      <w:r w:rsidR="00740384" w:rsidRPr="00474B71">
        <w:t>,</w:t>
      </w:r>
      <w:r w:rsidRPr="00474B71">
        <w:t xml:space="preserve"> and the commercial/industrial rate schedules.</w:t>
      </w:r>
      <w:r w:rsidR="00B818D6">
        <w:t xml:space="preserve">  This program has both Downstream and Direct Install components. </w:t>
      </w:r>
    </w:p>
    <w:p w:rsidR="00313A1D" w:rsidRPr="00474B71" w:rsidRDefault="00313A1D" w:rsidP="006E3403">
      <w:pPr>
        <w:ind w:left="720"/>
      </w:pPr>
    </w:p>
    <w:p w:rsidR="006E3403" w:rsidRPr="0076543F" w:rsidRDefault="00313A1D" w:rsidP="006E3403">
      <w:pPr>
        <w:rPr>
          <w:rFonts w:ascii="Arial" w:hAnsi="Arial" w:cs="Arial"/>
          <w:b/>
          <w:i/>
          <w:sz w:val="28"/>
          <w:szCs w:val="28"/>
        </w:rPr>
      </w:pPr>
      <w:r w:rsidRPr="0076543F">
        <w:rPr>
          <w:rFonts w:ascii="Arial" w:hAnsi="Arial" w:cs="Arial"/>
          <w:b/>
          <w:i/>
          <w:sz w:val="28"/>
          <w:szCs w:val="28"/>
        </w:rPr>
        <w:t xml:space="preserve">1.2 </w:t>
      </w:r>
      <w:r w:rsidR="000C5B86" w:rsidRPr="0076543F">
        <w:rPr>
          <w:rFonts w:ascii="Arial" w:hAnsi="Arial" w:cs="Arial"/>
          <w:b/>
          <w:i/>
          <w:sz w:val="28"/>
          <w:szCs w:val="28"/>
        </w:rPr>
        <w:t xml:space="preserve">Product </w:t>
      </w:r>
      <w:r w:rsidR="006E3403" w:rsidRPr="0076543F">
        <w:rPr>
          <w:rFonts w:ascii="Arial" w:hAnsi="Arial" w:cs="Arial"/>
          <w:b/>
          <w:i/>
          <w:sz w:val="28"/>
          <w:szCs w:val="28"/>
        </w:rPr>
        <w:t>Technical Description</w:t>
      </w:r>
    </w:p>
    <w:p w:rsidR="006E3403" w:rsidRPr="008A1DA4" w:rsidRDefault="006E3403" w:rsidP="006E3403">
      <w:r w:rsidRPr="008A1DA4">
        <w:t>Light emitting diode (LED) technology has improved in the past decade, enabling efficacious LED light sources with comparable lumen output to some existing baseline lighting sources. Current technology is beginning to allow for the level of lumen output traditionally associated with outdoor lighting application, given similar levels of power consumption. As LED component technology, such as optics and drivers, continue</w:t>
      </w:r>
      <w:r w:rsidR="004F363D" w:rsidRPr="008A1DA4">
        <w:t>s to improve, LED light sources</w:t>
      </w:r>
      <w:r w:rsidRPr="008A1DA4">
        <w:t xml:space="preserve"> become increasingly competitive with the lumen output emitted by high intensity discharge (HID) outdoor lighting, of which high and low pressure sodium (HPS and LPS) and metal halide (MH) are the most commonly employed forms.</w:t>
      </w:r>
      <w:r w:rsidR="00474B71">
        <w:rPr>
          <w:rStyle w:val="EndnoteReference"/>
        </w:rPr>
        <w:endnoteReference w:id="4"/>
      </w:r>
    </w:p>
    <w:p w:rsidR="006E3403" w:rsidRPr="008A1DA4" w:rsidRDefault="006E3403" w:rsidP="006E3403"/>
    <w:p w:rsidR="00F054C6" w:rsidRDefault="006E3403" w:rsidP="004F363D">
      <w:r w:rsidRPr="008A1DA4">
        <w:t>Solid-state lighting sources offer other benefits</w:t>
      </w:r>
      <w:r w:rsidR="004F363D" w:rsidRPr="008A1DA4">
        <w:t xml:space="preserve"> as well</w:t>
      </w:r>
      <w:r w:rsidRPr="008A1DA4">
        <w:t xml:space="preserve">. Manufacturer’s claims cite a more focused light output, with less light lost to the peripheries. </w:t>
      </w:r>
      <w:r w:rsidR="00872618">
        <w:t>Case s</w:t>
      </w:r>
      <w:r w:rsidRPr="008A1DA4">
        <w:t>tudies</w:t>
      </w:r>
      <w:bookmarkStart w:id="16" w:name="_Ref214872911"/>
      <w:r w:rsidR="00A228FA" w:rsidRPr="008A1DA4">
        <w:rPr>
          <w:rStyle w:val="EndnoteReference"/>
        </w:rPr>
        <w:endnoteReference w:id="5"/>
      </w:r>
      <w:bookmarkEnd w:id="16"/>
      <w:proofErr w:type="gramStart"/>
      <w:r w:rsidR="00A228FA" w:rsidRPr="00A228FA">
        <w:rPr>
          <w:vertAlign w:val="superscript"/>
        </w:rPr>
        <w:t>,</w:t>
      </w:r>
      <w:proofErr w:type="gramEnd"/>
      <w:r w:rsidR="00A228FA" w:rsidRPr="00A228FA">
        <w:rPr>
          <w:vertAlign w:val="superscript"/>
        </w:rPr>
        <w:t xml:space="preserve"> </w:t>
      </w:r>
      <w:r w:rsidR="00A228FA">
        <w:rPr>
          <w:rStyle w:val="EndnoteReference"/>
        </w:rPr>
        <w:endnoteReference w:id="6"/>
      </w:r>
      <w:r w:rsidRPr="008A1DA4">
        <w:t xml:space="preserve"> indicate that LED </w:t>
      </w:r>
      <w:r w:rsidR="00F054C6">
        <w:t xml:space="preserve">light </w:t>
      </w:r>
      <w:r w:rsidRPr="008A1DA4">
        <w:t>sources offer more even distribution of lighting, providing less variance in maximum to minimum ratios</w:t>
      </w:r>
      <w:r w:rsidR="00A228FA">
        <w:t xml:space="preserve">. </w:t>
      </w:r>
      <w:r w:rsidRPr="008A1DA4">
        <w:t xml:space="preserve">Longer life and low to nil maintenance costs are also great advantages of LED technology. </w:t>
      </w:r>
      <w:r w:rsidR="004F363D" w:rsidRPr="008A1DA4">
        <w:t>Additionally, LED light sources have the ability to dim where other, more typical baseline fixtures cannot. These advantages continue to increase the size of the solid-state lighting foothold in exterior lighting applications.</w:t>
      </w:r>
    </w:p>
    <w:p w:rsidR="00F054C6" w:rsidRDefault="00F054C6" w:rsidP="004F363D"/>
    <w:p w:rsidR="004F363D" w:rsidRPr="008A1DA4" w:rsidRDefault="00F054C6" w:rsidP="004F363D">
      <w:r>
        <w:t xml:space="preserve">Further benefits of </w:t>
      </w:r>
      <w:r w:rsidRPr="008A1DA4">
        <w:t xml:space="preserve">LED </w:t>
      </w:r>
      <w:r>
        <w:t xml:space="preserve">light </w:t>
      </w:r>
      <w:r w:rsidRPr="008A1DA4">
        <w:t>sources</w:t>
      </w:r>
      <w:r>
        <w:t xml:space="preserve"> include c</w:t>
      </w:r>
      <w:r w:rsidRPr="00F054C6">
        <w:t xml:space="preserve">ompact size, </w:t>
      </w:r>
      <w:r>
        <w:t>d</w:t>
      </w:r>
      <w:r w:rsidRPr="00F054C6">
        <w:t xml:space="preserve">urability and shock-resistance, </w:t>
      </w:r>
      <w:r>
        <w:t>n</w:t>
      </w:r>
      <w:r w:rsidRPr="00F054C6">
        <w:t>o</w:t>
      </w:r>
      <w:r>
        <w:t> </w:t>
      </w:r>
      <w:r w:rsidRPr="00F054C6">
        <w:t xml:space="preserve">infrared (IR) or ultraviolet (UV) emissions, </w:t>
      </w:r>
      <w:r>
        <w:t>w</w:t>
      </w:r>
      <w:r w:rsidRPr="00F054C6">
        <w:t xml:space="preserve">ide color temperature range, </w:t>
      </w:r>
      <w:r>
        <w:t>m</w:t>
      </w:r>
      <w:r w:rsidRPr="00F054C6">
        <w:t xml:space="preserve">onochromatic light, </w:t>
      </w:r>
      <w:r>
        <w:t>n</w:t>
      </w:r>
      <w:r w:rsidRPr="00F054C6">
        <w:t xml:space="preserve">o burn out, </w:t>
      </w:r>
      <w:r>
        <w:t>n</w:t>
      </w:r>
      <w:r w:rsidRPr="00F054C6">
        <w:t xml:space="preserve">ear instant-on and rapid cycling, </w:t>
      </w:r>
      <w:r>
        <w:t>g</w:t>
      </w:r>
      <w:r w:rsidRPr="00F054C6">
        <w:t xml:space="preserve">ood performance in the cold, </w:t>
      </w:r>
      <w:r>
        <w:t>n</w:t>
      </w:r>
      <w:r w:rsidRPr="00F054C6">
        <w:t xml:space="preserve">o toxic metals or chemicals, </w:t>
      </w:r>
      <w:r>
        <w:t xml:space="preserve">and </w:t>
      </w:r>
      <w:r w:rsidRPr="00F054C6">
        <w:t>LEED ND point contribution</w:t>
      </w:r>
      <w:r>
        <w:t>.</w:t>
      </w:r>
      <w:r>
        <w:rPr>
          <w:rStyle w:val="EndnoteReference"/>
        </w:rPr>
        <w:endnoteReference w:id="7"/>
      </w:r>
    </w:p>
    <w:p w:rsidR="004F363D" w:rsidRPr="008A1DA4" w:rsidRDefault="004F363D" w:rsidP="004F363D"/>
    <w:p w:rsidR="00427664" w:rsidRDefault="004F363D" w:rsidP="006E3403">
      <w:r w:rsidRPr="008A1DA4">
        <w:t>T</w:t>
      </w:r>
      <w:r w:rsidR="006E3403" w:rsidRPr="008A1DA4">
        <w:t>he spectrum and quality of light output by LED sources is such that, some propose, it is a more effective form of nighttime lighting. Theories concerning color temperature and visual effect continue to be debated</w:t>
      </w:r>
      <w:r w:rsidRPr="008A1DA4">
        <w:t xml:space="preserve">; </w:t>
      </w:r>
      <w:r w:rsidR="006E3403" w:rsidRPr="008A1DA4">
        <w:t>therefore, this topic lies outside the scope of this work paper.</w:t>
      </w:r>
      <w:r w:rsidR="00427664">
        <w:t xml:space="preserve"> </w:t>
      </w:r>
      <w:r w:rsidR="006E3403" w:rsidRPr="008A1DA4">
        <w:lastRenderedPageBreak/>
        <w:t>Nonetheless, this work paper considers light distribution and uniformity as key elements in proposed replacement strategies for street and area lighting applications (pole</w:t>
      </w:r>
      <w:r w:rsidR="00474B71">
        <w:t>-mount</w:t>
      </w:r>
      <w:r w:rsidRPr="008A1DA4">
        <w:t>ed luminaires with full cut</w:t>
      </w:r>
      <w:r w:rsidR="006E3403" w:rsidRPr="008A1DA4">
        <w:t>off).</w:t>
      </w:r>
      <w:r w:rsidR="00427664">
        <w:rPr>
          <w:rStyle w:val="EndnoteReference"/>
        </w:rPr>
        <w:endnoteReference w:id="8"/>
      </w:r>
    </w:p>
    <w:p w:rsidR="00427664" w:rsidRDefault="00427664" w:rsidP="006E3403"/>
    <w:p w:rsidR="006E3403" w:rsidRDefault="006E3403" w:rsidP="00EC1CF6">
      <w:pPr>
        <w:keepLines/>
      </w:pPr>
      <w:r w:rsidRPr="008A1DA4">
        <w:t xml:space="preserve">The primary goal of these measures is to replace </w:t>
      </w:r>
      <w:r w:rsidR="00F054C6">
        <w:t xml:space="preserve">the </w:t>
      </w:r>
      <w:r w:rsidRPr="008A1DA4">
        <w:t>energy intensive HID technology that is typically employed. Retrofits are defined as the replacement of the entire lighting fixture, but not necessarily system, as street poles or other structural elements will often remain in place. Simple lamp replacements are not applicable to these measures</w:t>
      </w:r>
      <w:r w:rsidR="004F363D" w:rsidRPr="008A1DA4">
        <w:t xml:space="preserve"> because</w:t>
      </w:r>
      <w:r w:rsidRPr="008A1DA4">
        <w:t xml:space="preserve"> outdoor LED lighting systems are currently sold as entire luminaires or retrofit kits.</w:t>
      </w:r>
    </w:p>
    <w:p w:rsidR="00CF487C" w:rsidRDefault="00CF487C" w:rsidP="00EC1CF6">
      <w:pPr>
        <w:keepLines/>
      </w:pPr>
    </w:p>
    <w:p w:rsidR="000C5B86" w:rsidRPr="003946E3" w:rsidRDefault="000C5B86" w:rsidP="00CF487C">
      <w:pPr>
        <w:pStyle w:val="Heading2"/>
        <w:keepNext w:val="0"/>
        <w:spacing w:before="0"/>
      </w:pPr>
      <w:bookmarkStart w:id="17" w:name="_Toc304800203"/>
      <w:bookmarkStart w:id="18" w:name="_Toc324318339"/>
      <w:bookmarkStart w:id="19" w:name="_Toc324340483"/>
      <w:bookmarkStart w:id="20" w:name="_Toc387655330"/>
      <w:bookmarkStart w:id="21" w:name="_Toc438469089"/>
      <w:r>
        <w:t xml:space="preserve">1.3 Measure Application </w:t>
      </w:r>
      <w:bookmarkEnd w:id="17"/>
      <w:r>
        <w:t>Type</w:t>
      </w:r>
      <w:bookmarkEnd w:id="18"/>
      <w:bookmarkEnd w:id="19"/>
      <w:bookmarkEnd w:id="20"/>
      <w:bookmarkEnd w:id="21"/>
      <w:r>
        <w:t xml:space="preserve"> </w:t>
      </w:r>
    </w:p>
    <w:p w:rsidR="000C5B86" w:rsidRPr="000C5B86" w:rsidRDefault="000C5B86" w:rsidP="000C5B86">
      <w:pPr>
        <w:rPr>
          <w:rFonts w:cs="Arial"/>
        </w:rPr>
      </w:pPr>
      <w:r w:rsidRPr="000C5B86">
        <w:rPr>
          <w:rFonts w:cs="Arial"/>
        </w:rPr>
        <w:t xml:space="preserve">The DEER Measure Cost Data Users Guide found on </w:t>
      </w:r>
      <w:hyperlink r:id="rId23" w:history="1">
        <w:r w:rsidRPr="000C5B86">
          <w:rPr>
            <w:rStyle w:val="Hyperlink"/>
            <w:rFonts w:cs="Arial"/>
          </w:rPr>
          <w:t>www.deeresources.com</w:t>
        </w:r>
      </w:hyperlink>
      <w:r w:rsidRPr="000C5B86">
        <w:rPr>
          <w:rFonts w:cs="Arial"/>
        </w:rPr>
        <w:t xml:space="preserve"> under </w:t>
      </w:r>
      <w:r w:rsidRPr="000C5B86">
        <w:rPr>
          <w:rFonts w:cs="Arial"/>
          <w:i/>
        </w:rPr>
        <w:t>DEER2011 Database Format</w:t>
      </w:r>
      <w:r w:rsidRPr="000C5B86">
        <w:rPr>
          <w:rFonts w:cs="Arial"/>
        </w:rPr>
        <w:t xml:space="preserve"> hyperlink, </w:t>
      </w:r>
      <w:r w:rsidRPr="000C5B86">
        <w:rPr>
          <w:rStyle w:val="breadcrumbs"/>
          <w:rFonts w:cs="Arial"/>
          <w:color w:val="333333"/>
          <w:lang w:val="en-GB"/>
        </w:rPr>
        <w:t>DEER2011 for 13-14</w:t>
      </w:r>
      <w:r w:rsidRPr="000C5B86">
        <w:rPr>
          <w:rFonts w:cs="Arial"/>
          <w:color w:val="333333"/>
          <w:lang w:val="en-GB"/>
        </w:rPr>
        <w:t>,</w:t>
      </w:r>
      <w:r w:rsidRPr="000C5B86">
        <w:rPr>
          <w:rFonts w:cs="Arial"/>
        </w:rPr>
        <w:t xml:space="preserve"> spreadsheet </w:t>
      </w:r>
      <w:r w:rsidRPr="000C5B86">
        <w:rPr>
          <w:rFonts w:cs="Arial"/>
          <w:i/>
        </w:rPr>
        <w:t>SPTdata_format-V0.97.xls</w:t>
      </w:r>
      <w:r w:rsidRPr="000C5B86">
        <w:rPr>
          <w:rFonts w:cs="Arial"/>
        </w:rPr>
        <w:t>, defines the terms as follows:</w:t>
      </w:r>
    </w:p>
    <w:p w:rsidR="000C5B86" w:rsidRPr="00F65942" w:rsidRDefault="000C5B86" w:rsidP="000C5B86">
      <w:pPr>
        <w:rPr>
          <w:i/>
        </w:rPr>
      </w:pPr>
    </w:p>
    <w:p w:rsidR="000C5B86" w:rsidRPr="000C5B86" w:rsidRDefault="000C5B86" w:rsidP="000C5B86">
      <w:pPr>
        <w:pStyle w:val="Caption"/>
        <w:keepNext/>
        <w:rPr>
          <w:rFonts w:ascii="Calibri" w:hAnsi="Calibri" w:cs="Calibri"/>
          <w:sz w:val="22"/>
          <w:szCs w:val="22"/>
        </w:rPr>
      </w:pPr>
      <w:bookmarkStart w:id="22" w:name="_Toc387822963"/>
      <w:bookmarkStart w:id="23" w:name="_Toc438469108"/>
      <w:r w:rsidRPr="000C5B86">
        <w:rPr>
          <w:sz w:val="22"/>
          <w:szCs w:val="22"/>
        </w:rPr>
        <w:t xml:space="preserve">Table </w:t>
      </w:r>
      <w:r w:rsidRPr="000C5B86">
        <w:rPr>
          <w:sz w:val="22"/>
          <w:szCs w:val="22"/>
        </w:rPr>
        <w:fldChar w:fldCharType="begin"/>
      </w:r>
      <w:r w:rsidRPr="000C5B86">
        <w:rPr>
          <w:sz w:val="22"/>
          <w:szCs w:val="22"/>
        </w:rPr>
        <w:instrText xml:space="preserve"> SEQ Table \* ARABIC </w:instrText>
      </w:r>
      <w:r w:rsidRPr="000C5B86">
        <w:rPr>
          <w:sz w:val="22"/>
          <w:szCs w:val="22"/>
        </w:rPr>
        <w:fldChar w:fldCharType="separate"/>
      </w:r>
      <w:r w:rsidR="00C65AE2">
        <w:rPr>
          <w:noProof/>
          <w:sz w:val="22"/>
          <w:szCs w:val="22"/>
        </w:rPr>
        <w:t>2</w:t>
      </w:r>
      <w:r w:rsidRPr="000C5B86">
        <w:rPr>
          <w:noProof/>
          <w:sz w:val="22"/>
          <w:szCs w:val="22"/>
        </w:rPr>
        <w:fldChar w:fldCharType="end"/>
      </w:r>
      <w:bookmarkStart w:id="24" w:name="RANGE!B222"/>
      <w:r w:rsidRPr="000C5B86">
        <w:rPr>
          <w:rFonts w:ascii="Calibri" w:hAnsi="Calibri" w:cs="Calibri"/>
          <w:sz w:val="22"/>
          <w:szCs w:val="22"/>
        </w:rPr>
        <w:t xml:space="preserve"> </w:t>
      </w:r>
      <w:r w:rsidRPr="000C5B86">
        <w:rPr>
          <w:rFonts w:cs="Arial"/>
          <w:sz w:val="22"/>
          <w:szCs w:val="22"/>
        </w:rPr>
        <w:t>Measure Application Type</w:t>
      </w:r>
      <w:bookmarkEnd w:id="24"/>
      <w:r w:rsidRPr="000C5B86">
        <w:rPr>
          <w:rStyle w:val="EndnoteReference"/>
          <w:rFonts w:cs="Arial"/>
          <w:sz w:val="22"/>
          <w:szCs w:val="22"/>
        </w:rPr>
        <w:endnoteReference w:id="9"/>
      </w:r>
      <w:bookmarkEnd w:id="22"/>
      <w:bookmarkEnd w:id="23"/>
    </w:p>
    <w:p w:rsidR="000C5B86" w:rsidRPr="000C5B86" w:rsidRDefault="000C5B86" w:rsidP="000C5B86">
      <w:pPr>
        <w:keepNext/>
      </w:pPr>
      <w:proofErr w:type="gramStart"/>
      <w:r w:rsidRPr="000C5B86">
        <w:rPr>
          <w:i/>
          <w:iCs/>
          <w:szCs w:val="22"/>
        </w:rPr>
        <w:t>Identifies the measure application type in the Measure Implementation table in DEER2011.</w:t>
      </w:r>
      <w:proofErr w:type="gramEnd"/>
    </w:p>
    <w:tbl>
      <w:tblPr>
        <w:tblW w:w="9272" w:type="dxa"/>
        <w:tblInd w:w="108" w:type="dxa"/>
        <w:tblLook w:val="04A0" w:firstRow="1" w:lastRow="0" w:firstColumn="1" w:lastColumn="0" w:noHBand="0" w:noVBand="1"/>
      </w:tblPr>
      <w:tblGrid>
        <w:gridCol w:w="918"/>
        <w:gridCol w:w="2662"/>
        <w:gridCol w:w="5692"/>
      </w:tblGrid>
      <w:tr w:rsidR="000C5B86" w:rsidRPr="00BD02D0" w:rsidTr="000C5B86">
        <w:trPr>
          <w:trHeight w:val="130"/>
        </w:trPr>
        <w:tc>
          <w:tcPr>
            <w:tcW w:w="918" w:type="dxa"/>
            <w:tcBorders>
              <w:top w:val="single" w:sz="4" w:space="0" w:color="auto"/>
              <w:left w:val="single" w:sz="4" w:space="0" w:color="auto"/>
              <w:bottom w:val="single" w:sz="8" w:space="0" w:color="auto"/>
              <w:right w:val="nil"/>
            </w:tcBorders>
            <w:shd w:val="clear" w:color="000000" w:fill="D9D9D9"/>
            <w:noWrap/>
            <w:vAlign w:val="bottom"/>
            <w:hideMark/>
          </w:tcPr>
          <w:p w:rsidR="000C5B86" w:rsidRPr="00453CE7" w:rsidRDefault="000C5B86" w:rsidP="007B7EF9">
            <w:pPr>
              <w:keepNext/>
              <w:rPr>
                <w:rFonts w:ascii="Calibri" w:hAnsi="Calibri" w:cs="Calibri"/>
                <w:b/>
                <w:color w:val="000000"/>
                <w:szCs w:val="22"/>
              </w:rPr>
            </w:pPr>
            <w:r w:rsidRPr="00453CE7">
              <w:rPr>
                <w:rFonts w:ascii="Calibri" w:hAnsi="Calibri" w:cs="Calibri"/>
                <w:b/>
                <w:color w:val="000000"/>
                <w:szCs w:val="22"/>
              </w:rPr>
              <w:t>Code</w:t>
            </w:r>
          </w:p>
        </w:tc>
        <w:tc>
          <w:tcPr>
            <w:tcW w:w="2662" w:type="dxa"/>
            <w:tcBorders>
              <w:top w:val="single" w:sz="4" w:space="0" w:color="auto"/>
              <w:left w:val="nil"/>
              <w:bottom w:val="single" w:sz="8" w:space="0" w:color="auto"/>
              <w:right w:val="nil"/>
            </w:tcBorders>
            <w:shd w:val="clear" w:color="000000" w:fill="D9D9D9"/>
            <w:noWrap/>
            <w:vAlign w:val="bottom"/>
            <w:hideMark/>
          </w:tcPr>
          <w:p w:rsidR="000C5B86" w:rsidRPr="00453CE7" w:rsidRDefault="000C5B86" w:rsidP="007B7EF9">
            <w:pPr>
              <w:keepNext/>
              <w:rPr>
                <w:rFonts w:ascii="Calibri" w:hAnsi="Calibri" w:cs="Calibri"/>
                <w:b/>
                <w:color w:val="000000"/>
                <w:szCs w:val="22"/>
              </w:rPr>
            </w:pPr>
            <w:r w:rsidRPr="00453CE7">
              <w:rPr>
                <w:rFonts w:ascii="Calibri" w:hAnsi="Calibri" w:cs="Calibri"/>
                <w:b/>
                <w:color w:val="000000"/>
                <w:szCs w:val="22"/>
              </w:rPr>
              <w:t>Description</w:t>
            </w:r>
          </w:p>
        </w:tc>
        <w:tc>
          <w:tcPr>
            <w:tcW w:w="5692" w:type="dxa"/>
            <w:tcBorders>
              <w:top w:val="single" w:sz="4" w:space="0" w:color="auto"/>
              <w:left w:val="nil"/>
              <w:bottom w:val="single" w:sz="8" w:space="0" w:color="auto"/>
              <w:right w:val="single" w:sz="4" w:space="0" w:color="auto"/>
            </w:tcBorders>
            <w:shd w:val="clear" w:color="000000" w:fill="D9D9D9"/>
            <w:noWrap/>
            <w:vAlign w:val="bottom"/>
            <w:hideMark/>
          </w:tcPr>
          <w:p w:rsidR="000C5B86" w:rsidRPr="00453CE7" w:rsidRDefault="000C5B86" w:rsidP="007B7EF9">
            <w:pPr>
              <w:keepNext/>
              <w:rPr>
                <w:rFonts w:ascii="Calibri" w:hAnsi="Calibri" w:cs="Calibri"/>
                <w:b/>
                <w:color w:val="000000"/>
                <w:szCs w:val="22"/>
              </w:rPr>
            </w:pPr>
            <w:r w:rsidRPr="00453CE7">
              <w:rPr>
                <w:rFonts w:ascii="Calibri" w:hAnsi="Calibri" w:cs="Calibri"/>
                <w:b/>
                <w:color w:val="000000"/>
                <w:szCs w:val="22"/>
              </w:rPr>
              <w:t>Comment</w:t>
            </w:r>
          </w:p>
        </w:tc>
      </w:tr>
      <w:tr w:rsidR="000C5B86" w:rsidRPr="00BD02D0" w:rsidTr="000C5B86">
        <w:trPr>
          <w:trHeight w:val="248"/>
        </w:trPr>
        <w:tc>
          <w:tcPr>
            <w:tcW w:w="918" w:type="dxa"/>
            <w:tcBorders>
              <w:top w:val="nil"/>
              <w:left w:val="single" w:sz="4" w:space="0" w:color="auto"/>
              <w:bottom w:val="nil"/>
              <w:right w:val="nil"/>
            </w:tcBorders>
            <w:shd w:val="clear" w:color="auto" w:fill="auto"/>
            <w:noWrap/>
            <w:vAlign w:val="center"/>
          </w:tcPr>
          <w:p w:rsidR="000C5B86" w:rsidRPr="00453CE7" w:rsidRDefault="000C5B86" w:rsidP="007B7EF9">
            <w:pPr>
              <w:keepNext/>
              <w:rPr>
                <w:rFonts w:ascii="Calibri" w:hAnsi="Calibri" w:cs="Calibri"/>
                <w:szCs w:val="22"/>
              </w:rPr>
            </w:pPr>
          </w:p>
        </w:tc>
        <w:tc>
          <w:tcPr>
            <w:tcW w:w="2662" w:type="dxa"/>
            <w:tcBorders>
              <w:top w:val="nil"/>
              <w:left w:val="nil"/>
              <w:bottom w:val="nil"/>
              <w:right w:val="nil"/>
            </w:tcBorders>
            <w:shd w:val="clear" w:color="auto" w:fill="auto"/>
            <w:noWrap/>
            <w:vAlign w:val="center"/>
          </w:tcPr>
          <w:p w:rsidR="000C5B86" w:rsidRPr="00453CE7" w:rsidRDefault="000C5B86" w:rsidP="007B7EF9">
            <w:pPr>
              <w:keepNext/>
              <w:rPr>
                <w:rFonts w:ascii="Calibri" w:hAnsi="Calibri" w:cs="Calibri"/>
                <w:szCs w:val="22"/>
              </w:rPr>
            </w:pPr>
          </w:p>
        </w:tc>
        <w:tc>
          <w:tcPr>
            <w:tcW w:w="5692" w:type="dxa"/>
            <w:tcBorders>
              <w:top w:val="nil"/>
              <w:left w:val="nil"/>
              <w:bottom w:val="nil"/>
              <w:right w:val="single" w:sz="4" w:space="0" w:color="auto"/>
            </w:tcBorders>
            <w:shd w:val="clear" w:color="auto" w:fill="auto"/>
            <w:vAlign w:val="center"/>
          </w:tcPr>
          <w:p w:rsidR="000C5B86" w:rsidRPr="00453CE7" w:rsidRDefault="000C5B86" w:rsidP="007B7EF9">
            <w:pPr>
              <w:keepNext/>
              <w:rPr>
                <w:rFonts w:ascii="Calibri" w:hAnsi="Calibri" w:cs="Calibri"/>
                <w:i/>
                <w:iCs/>
                <w:szCs w:val="22"/>
              </w:rPr>
            </w:pPr>
          </w:p>
        </w:tc>
      </w:tr>
      <w:tr w:rsidR="000C5B86" w:rsidRPr="00BD02D0" w:rsidTr="000C5B86">
        <w:trPr>
          <w:trHeight w:val="248"/>
        </w:trPr>
        <w:tc>
          <w:tcPr>
            <w:tcW w:w="918" w:type="dxa"/>
            <w:tcBorders>
              <w:top w:val="nil"/>
              <w:left w:val="single" w:sz="4" w:space="0" w:color="auto"/>
              <w:bottom w:val="nil"/>
              <w:right w:val="nil"/>
            </w:tcBorders>
            <w:shd w:val="clear" w:color="auto" w:fill="auto"/>
            <w:noWrap/>
            <w:vAlign w:val="center"/>
            <w:hideMark/>
          </w:tcPr>
          <w:p w:rsidR="000C5B86" w:rsidRPr="00453CE7" w:rsidRDefault="000C5B86" w:rsidP="007B7EF9">
            <w:pPr>
              <w:keepNext/>
              <w:rPr>
                <w:rFonts w:ascii="Calibri" w:hAnsi="Calibri" w:cs="Calibri"/>
                <w:szCs w:val="22"/>
              </w:rPr>
            </w:pPr>
            <w:r w:rsidRPr="00453CE7">
              <w:rPr>
                <w:rFonts w:ascii="Calibri" w:hAnsi="Calibri" w:cs="Calibri"/>
                <w:szCs w:val="22"/>
              </w:rPr>
              <w:t>ROB</w:t>
            </w:r>
          </w:p>
        </w:tc>
        <w:tc>
          <w:tcPr>
            <w:tcW w:w="2662" w:type="dxa"/>
            <w:tcBorders>
              <w:top w:val="nil"/>
              <w:left w:val="nil"/>
              <w:bottom w:val="nil"/>
              <w:right w:val="nil"/>
            </w:tcBorders>
            <w:shd w:val="clear" w:color="auto" w:fill="auto"/>
            <w:noWrap/>
            <w:vAlign w:val="center"/>
            <w:hideMark/>
          </w:tcPr>
          <w:p w:rsidR="000C5B86" w:rsidRPr="00453CE7" w:rsidRDefault="000C5B86" w:rsidP="007B7EF9">
            <w:pPr>
              <w:keepNext/>
              <w:rPr>
                <w:rFonts w:ascii="Calibri" w:hAnsi="Calibri" w:cs="Calibri"/>
                <w:szCs w:val="22"/>
              </w:rPr>
            </w:pPr>
            <w:r w:rsidRPr="00453CE7">
              <w:rPr>
                <w:rFonts w:ascii="Calibri" w:hAnsi="Calibri" w:cs="Calibri"/>
                <w:szCs w:val="22"/>
              </w:rPr>
              <w:t>Replace on Burnout</w:t>
            </w:r>
          </w:p>
        </w:tc>
        <w:tc>
          <w:tcPr>
            <w:tcW w:w="5692" w:type="dxa"/>
            <w:tcBorders>
              <w:top w:val="nil"/>
              <w:left w:val="nil"/>
              <w:bottom w:val="nil"/>
              <w:right w:val="single" w:sz="4" w:space="0" w:color="auto"/>
            </w:tcBorders>
            <w:shd w:val="clear" w:color="auto" w:fill="auto"/>
            <w:vAlign w:val="center"/>
            <w:hideMark/>
          </w:tcPr>
          <w:p w:rsidR="000C5B86" w:rsidRPr="00453CE7" w:rsidRDefault="000C5B86" w:rsidP="007B7EF9">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CF487C" w:rsidRPr="00BD02D0" w:rsidTr="000C5B86">
        <w:trPr>
          <w:trHeight w:val="248"/>
        </w:trPr>
        <w:tc>
          <w:tcPr>
            <w:tcW w:w="918" w:type="dxa"/>
            <w:tcBorders>
              <w:top w:val="nil"/>
              <w:left w:val="single" w:sz="4" w:space="0" w:color="auto"/>
              <w:bottom w:val="nil"/>
              <w:right w:val="nil"/>
            </w:tcBorders>
            <w:shd w:val="clear" w:color="auto" w:fill="auto"/>
            <w:noWrap/>
            <w:vAlign w:val="center"/>
          </w:tcPr>
          <w:p w:rsidR="00CF487C" w:rsidRPr="00453CE7" w:rsidRDefault="00CF487C" w:rsidP="007B7EF9">
            <w:pPr>
              <w:keepNext/>
              <w:rPr>
                <w:rFonts w:ascii="Calibri" w:hAnsi="Calibri" w:cs="Calibri"/>
                <w:szCs w:val="22"/>
              </w:rPr>
            </w:pPr>
          </w:p>
        </w:tc>
        <w:tc>
          <w:tcPr>
            <w:tcW w:w="2662" w:type="dxa"/>
            <w:tcBorders>
              <w:top w:val="nil"/>
              <w:left w:val="nil"/>
              <w:bottom w:val="nil"/>
              <w:right w:val="nil"/>
            </w:tcBorders>
            <w:shd w:val="clear" w:color="auto" w:fill="auto"/>
            <w:noWrap/>
            <w:vAlign w:val="center"/>
          </w:tcPr>
          <w:p w:rsidR="00CF487C" w:rsidRPr="00453CE7" w:rsidRDefault="00CF487C" w:rsidP="007B7EF9">
            <w:pPr>
              <w:keepNext/>
              <w:rPr>
                <w:rFonts w:ascii="Calibri" w:hAnsi="Calibri" w:cs="Calibri"/>
                <w:szCs w:val="22"/>
              </w:rPr>
            </w:pPr>
          </w:p>
        </w:tc>
        <w:tc>
          <w:tcPr>
            <w:tcW w:w="5692" w:type="dxa"/>
            <w:tcBorders>
              <w:top w:val="nil"/>
              <w:left w:val="nil"/>
              <w:bottom w:val="nil"/>
              <w:right w:val="single" w:sz="4" w:space="0" w:color="auto"/>
            </w:tcBorders>
            <w:shd w:val="clear" w:color="auto" w:fill="auto"/>
            <w:vAlign w:val="center"/>
          </w:tcPr>
          <w:p w:rsidR="00CF487C" w:rsidRPr="00453CE7" w:rsidRDefault="00CF487C" w:rsidP="007B7EF9">
            <w:pPr>
              <w:keepNext/>
              <w:rPr>
                <w:rFonts w:ascii="Calibri" w:hAnsi="Calibri" w:cs="Calibri"/>
                <w:i/>
                <w:iCs/>
                <w:szCs w:val="22"/>
              </w:rPr>
            </w:pPr>
          </w:p>
        </w:tc>
      </w:tr>
      <w:tr w:rsidR="000C5B86" w:rsidRPr="00BD02D0" w:rsidTr="00CF487C">
        <w:trPr>
          <w:trHeight w:val="248"/>
        </w:trPr>
        <w:tc>
          <w:tcPr>
            <w:tcW w:w="918" w:type="dxa"/>
            <w:tcBorders>
              <w:top w:val="nil"/>
              <w:left w:val="single" w:sz="4" w:space="0" w:color="auto"/>
              <w:bottom w:val="nil"/>
              <w:right w:val="nil"/>
            </w:tcBorders>
            <w:shd w:val="clear" w:color="auto" w:fill="auto"/>
            <w:noWrap/>
            <w:vAlign w:val="center"/>
          </w:tcPr>
          <w:p w:rsidR="000C5B86" w:rsidRPr="00453CE7" w:rsidRDefault="00CF487C" w:rsidP="007B7EF9">
            <w:pPr>
              <w:rPr>
                <w:rFonts w:ascii="Calibri" w:hAnsi="Calibri" w:cs="Calibri"/>
                <w:szCs w:val="22"/>
              </w:rPr>
            </w:pPr>
            <w:r>
              <w:rPr>
                <w:rFonts w:ascii="Calibri" w:hAnsi="Calibri" w:cs="Calibri"/>
                <w:szCs w:val="22"/>
              </w:rPr>
              <w:t>NC</w:t>
            </w:r>
          </w:p>
        </w:tc>
        <w:tc>
          <w:tcPr>
            <w:tcW w:w="2662" w:type="dxa"/>
            <w:tcBorders>
              <w:top w:val="nil"/>
              <w:left w:val="nil"/>
              <w:bottom w:val="nil"/>
              <w:right w:val="nil"/>
            </w:tcBorders>
            <w:shd w:val="clear" w:color="auto" w:fill="auto"/>
            <w:noWrap/>
            <w:vAlign w:val="center"/>
          </w:tcPr>
          <w:p w:rsidR="000C5B86" w:rsidRPr="00453CE7" w:rsidRDefault="00CF487C" w:rsidP="007B7EF9">
            <w:pPr>
              <w:rPr>
                <w:rFonts w:ascii="Calibri" w:hAnsi="Calibri" w:cs="Calibri"/>
                <w:szCs w:val="22"/>
              </w:rPr>
            </w:pPr>
            <w:r>
              <w:rPr>
                <w:rFonts w:ascii="Calibri" w:hAnsi="Calibri" w:cs="Calibri"/>
                <w:szCs w:val="22"/>
              </w:rPr>
              <w:t>New Construction</w:t>
            </w:r>
          </w:p>
        </w:tc>
        <w:tc>
          <w:tcPr>
            <w:tcW w:w="5692" w:type="dxa"/>
            <w:tcBorders>
              <w:top w:val="nil"/>
              <w:left w:val="nil"/>
              <w:bottom w:val="nil"/>
              <w:right w:val="single" w:sz="4" w:space="0" w:color="auto"/>
            </w:tcBorders>
            <w:shd w:val="clear" w:color="auto" w:fill="auto"/>
            <w:vAlign w:val="center"/>
          </w:tcPr>
          <w:p w:rsidR="000C5B86" w:rsidRPr="00453CE7" w:rsidRDefault="00CF487C" w:rsidP="007B7EF9">
            <w:pPr>
              <w:rPr>
                <w:rFonts w:ascii="Calibri" w:hAnsi="Calibri" w:cs="Calibri"/>
                <w:i/>
                <w:iCs/>
                <w:szCs w:val="22"/>
              </w:rPr>
            </w:pPr>
            <w:r>
              <w:rPr>
                <w:rFonts w:ascii="Calibri" w:hAnsi="Calibri" w:cs="Calibri"/>
                <w:i/>
                <w:iCs/>
                <w:szCs w:val="22"/>
              </w:rPr>
              <w:t>measure applied during construction design phase as an alternative to a code-compliant standard design</w:t>
            </w:r>
          </w:p>
        </w:tc>
      </w:tr>
      <w:tr w:rsidR="00CF487C" w:rsidRPr="00BD02D0" w:rsidTr="000C5B86">
        <w:trPr>
          <w:trHeight w:val="248"/>
        </w:trPr>
        <w:tc>
          <w:tcPr>
            <w:tcW w:w="918" w:type="dxa"/>
            <w:tcBorders>
              <w:top w:val="nil"/>
              <w:left w:val="single" w:sz="4" w:space="0" w:color="auto"/>
              <w:bottom w:val="single" w:sz="4" w:space="0" w:color="auto"/>
              <w:right w:val="nil"/>
            </w:tcBorders>
            <w:shd w:val="clear" w:color="auto" w:fill="auto"/>
            <w:noWrap/>
            <w:vAlign w:val="center"/>
          </w:tcPr>
          <w:p w:rsidR="00CF487C" w:rsidRDefault="00CF487C" w:rsidP="007B7EF9">
            <w:pPr>
              <w:rPr>
                <w:rFonts w:ascii="Calibri" w:hAnsi="Calibri" w:cs="Calibri"/>
                <w:szCs w:val="22"/>
              </w:rPr>
            </w:pPr>
          </w:p>
        </w:tc>
        <w:tc>
          <w:tcPr>
            <w:tcW w:w="2662" w:type="dxa"/>
            <w:tcBorders>
              <w:top w:val="nil"/>
              <w:left w:val="nil"/>
              <w:bottom w:val="single" w:sz="4" w:space="0" w:color="auto"/>
              <w:right w:val="nil"/>
            </w:tcBorders>
            <w:shd w:val="clear" w:color="auto" w:fill="auto"/>
            <w:noWrap/>
            <w:vAlign w:val="center"/>
          </w:tcPr>
          <w:p w:rsidR="00CF487C" w:rsidRDefault="00CF487C" w:rsidP="007B7EF9">
            <w:pPr>
              <w:rPr>
                <w:rFonts w:ascii="Calibri" w:hAnsi="Calibri" w:cs="Calibri"/>
                <w:szCs w:val="22"/>
              </w:rPr>
            </w:pPr>
          </w:p>
        </w:tc>
        <w:tc>
          <w:tcPr>
            <w:tcW w:w="5692" w:type="dxa"/>
            <w:tcBorders>
              <w:top w:val="nil"/>
              <w:left w:val="nil"/>
              <w:bottom w:val="single" w:sz="4" w:space="0" w:color="auto"/>
              <w:right w:val="single" w:sz="4" w:space="0" w:color="auto"/>
            </w:tcBorders>
            <w:shd w:val="clear" w:color="auto" w:fill="auto"/>
            <w:vAlign w:val="center"/>
          </w:tcPr>
          <w:p w:rsidR="00CF487C" w:rsidRDefault="00CF487C" w:rsidP="007B7EF9">
            <w:pPr>
              <w:rPr>
                <w:rFonts w:ascii="Calibri" w:hAnsi="Calibri" w:cs="Calibri"/>
                <w:i/>
                <w:iCs/>
                <w:szCs w:val="22"/>
              </w:rPr>
            </w:pPr>
          </w:p>
        </w:tc>
      </w:tr>
    </w:tbl>
    <w:p w:rsidR="005366C6" w:rsidRDefault="005366C6" w:rsidP="000C5B86">
      <w:pPr>
        <w:rPr>
          <w:rFonts w:cs="Arial"/>
          <w:sz w:val="22"/>
          <w:szCs w:val="22"/>
        </w:rPr>
      </w:pPr>
    </w:p>
    <w:p w:rsidR="000C5B86" w:rsidRDefault="000C5B86" w:rsidP="000C5B86">
      <w:pPr>
        <w:rPr>
          <w:rFonts w:cs="Arial"/>
          <w:sz w:val="22"/>
          <w:szCs w:val="22"/>
        </w:rPr>
      </w:pPr>
      <w:r w:rsidRPr="000C5B86">
        <w:rPr>
          <w:rFonts w:cs="Arial"/>
          <w:sz w:val="22"/>
          <w:szCs w:val="22"/>
        </w:rPr>
        <w:t>These measures are identified as ROB</w:t>
      </w:r>
      <w:r w:rsidR="00CF487C">
        <w:rPr>
          <w:rFonts w:cs="Arial"/>
          <w:sz w:val="22"/>
          <w:szCs w:val="22"/>
        </w:rPr>
        <w:t xml:space="preserve"> and N</w:t>
      </w:r>
      <w:r w:rsidR="00686958">
        <w:rPr>
          <w:rFonts w:cs="Arial"/>
          <w:sz w:val="22"/>
          <w:szCs w:val="22"/>
        </w:rPr>
        <w:t>C</w:t>
      </w:r>
      <w:r w:rsidRPr="000C5B86">
        <w:rPr>
          <w:rFonts w:cs="Arial"/>
          <w:sz w:val="22"/>
          <w:szCs w:val="22"/>
        </w:rPr>
        <w:t>.</w:t>
      </w:r>
    </w:p>
    <w:p w:rsidR="00CF487C" w:rsidRPr="000C5B86" w:rsidRDefault="00CF487C" w:rsidP="000C5B86">
      <w:pPr>
        <w:rPr>
          <w:sz w:val="22"/>
          <w:szCs w:val="22"/>
        </w:rPr>
      </w:pPr>
    </w:p>
    <w:p w:rsidR="000C5B86" w:rsidRDefault="000C5B86" w:rsidP="00CF487C">
      <w:pPr>
        <w:pStyle w:val="Heading2"/>
        <w:spacing w:before="0"/>
      </w:pPr>
      <w:bookmarkStart w:id="25" w:name="_Toc304800204"/>
      <w:bookmarkStart w:id="26" w:name="_Toc324318340"/>
      <w:bookmarkStart w:id="27" w:name="_Toc324340484"/>
      <w:bookmarkStart w:id="28" w:name="_Toc387655331"/>
      <w:bookmarkStart w:id="29" w:name="_Toc438469090"/>
      <w:r>
        <w:t>1.4 Product Base Case and Measure Case Data</w:t>
      </w:r>
      <w:bookmarkEnd w:id="25"/>
      <w:bookmarkEnd w:id="26"/>
      <w:bookmarkEnd w:id="27"/>
      <w:bookmarkEnd w:id="28"/>
      <w:bookmarkEnd w:id="29"/>
    </w:p>
    <w:p w:rsidR="000C5B86" w:rsidRPr="008903DA" w:rsidRDefault="00A47FE3" w:rsidP="000C5B86">
      <w:pPr>
        <w:pStyle w:val="Heading2"/>
      </w:pPr>
      <w:bookmarkStart w:id="30" w:name="_Toc438469091"/>
      <w:r w:rsidRPr="008A1DA4">
        <w:t>1.</w:t>
      </w:r>
      <w:r w:rsidR="000C5B86">
        <w:t>4.1</w:t>
      </w:r>
      <w:r w:rsidRPr="008A1DA4">
        <w:t xml:space="preserve"> </w:t>
      </w:r>
      <w:r w:rsidR="000C5B86" w:rsidRPr="001248A3">
        <w:t xml:space="preserve">DEER </w:t>
      </w:r>
      <w:r w:rsidR="000C5B86">
        <w:t>Base Case and Measure Case Information</w:t>
      </w:r>
      <w:bookmarkEnd w:id="30"/>
      <w:r w:rsidR="000C5B86">
        <w:t xml:space="preserve"> </w:t>
      </w:r>
    </w:p>
    <w:p w:rsidR="001839CB" w:rsidRDefault="00DD0977" w:rsidP="007100F8">
      <w:r>
        <w:t>The DEER READI tool was used to identify DEER base case and measure case.  Please refer to the Excel calculation workbook for DEER measure IDs.</w:t>
      </w:r>
    </w:p>
    <w:p w:rsidR="00FD3162" w:rsidRPr="008A1DA4" w:rsidRDefault="00FD3162" w:rsidP="00FD3162">
      <w:pPr>
        <w:rPr>
          <w:i/>
        </w:rPr>
      </w:pPr>
    </w:p>
    <w:p w:rsidR="00FD3162" w:rsidRDefault="00FD3162" w:rsidP="00FD3162">
      <w:r w:rsidRPr="008A1DA4">
        <w:rPr>
          <w:b/>
        </w:rPr>
        <w:t>Hours of Operation</w:t>
      </w:r>
      <w:r w:rsidRPr="008A1DA4">
        <w:t>: Hours of operation are assumed to be 4,100 hours per year for those measures for which nighttime operation alone is expected</w:t>
      </w:r>
      <w:r>
        <w:t>.</w:t>
      </w:r>
      <w:r w:rsidR="00CF487C">
        <w:t xml:space="preserve">  </w:t>
      </w:r>
      <w:r>
        <w:t>T</w:t>
      </w:r>
      <w:r w:rsidRPr="008A1DA4">
        <w:t>his estimate was verified against P</w:t>
      </w:r>
      <w:r>
        <w:t>G&amp;E</w:t>
      </w:r>
      <w:r w:rsidRPr="008A1DA4">
        <w:t xml:space="preserve">’s </w:t>
      </w:r>
      <w:r w:rsidRPr="008A1DA4">
        <w:rPr>
          <w:i/>
        </w:rPr>
        <w:t>Electric Schedule LS-2</w:t>
      </w:r>
      <w:r w:rsidRPr="008A1DA4">
        <w:t xml:space="preserve"> as a source of current operation practice</w:t>
      </w:r>
      <w:r>
        <w:t>s.</w:t>
      </w:r>
      <w:r w:rsidRPr="00E37573">
        <w:rPr>
          <w:vertAlign w:val="superscript"/>
        </w:rPr>
        <w:fldChar w:fldCharType="begin"/>
      </w:r>
      <w:r w:rsidRPr="00E37573">
        <w:rPr>
          <w:vertAlign w:val="superscript"/>
        </w:rPr>
        <w:instrText xml:space="preserve"> NOTEREF _Ref327764574 \h </w:instrText>
      </w:r>
      <w:r>
        <w:rPr>
          <w:vertAlign w:val="superscript"/>
        </w:rPr>
        <w:instrText xml:space="preserve"> \* MERGEFORMAT </w:instrText>
      </w:r>
      <w:r w:rsidRPr="00E37573">
        <w:rPr>
          <w:vertAlign w:val="superscript"/>
        </w:rPr>
      </w:r>
      <w:r w:rsidRPr="00E37573">
        <w:rPr>
          <w:vertAlign w:val="superscript"/>
        </w:rPr>
        <w:fldChar w:fldCharType="separate"/>
      </w:r>
      <w:r w:rsidR="00EA1EA1">
        <w:rPr>
          <w:vertAlign w:val="superscript"/>
        </w:rPr>
        <w:t>14</w:t>
      </w:r>
      <w:r w:rsidRPr="00E37573">
        <w:rPr>
          <w:vertAlign w:val="superscript"/>
        </w:rPr>
        <w:fldChar w:fldCharType="end"/>
      </w:r>
    </w:p>
    <w:p w:rsidR="00FD3162" w:rsidRPr="008A1DA4" w:rsidRDefault="00FD3162" w:rsidP="00FD3162"/>
    <w:p w:rsidR="005366C6" w:rsidRDefault="005366C6" w:rsidP="005366C6">
      <w:r w:rsidRPr="008A1DA4">
        <w:rPr>
          <w:b/>
        </w:rPr>
        <w:t>Net-to-Gross Assumption:</w:t>
      </w:r>
      <w:r w:rsidRPr="008A1DA4">
        <w:t xml:space="preserve"> </w:t>
      </w:r>
      <w:r w:rsidR="004A2B94">
        <w:t>The NTG values were obtained using the NTG workbook provided on the DEER 2016 website</w:t>
      </w:r>
      <w:r w:rsidR="00563E98">
        <w:rPr>
          <w:rStyle w:val="EndnoteReference"/>
        </w:rPr>
        <w:endnoteReference w:id="10"/>
      </w:r>
      <w:r w:rsidR="004A2B94">
        <w:t>.  The relevant NTG values for the measures in this work paper are listed below:</w:t>
      </w:r>
    </w:p>
    <w:p w:rsidR="00563E98" w:rsidRDefault="00563E98" w:rsidP="005366C6">
      <w:pPr>
        <w:pStyle w:val="Caption"/>
        <w:keepNext/>
        <w:jc w:val="center"/>
        <w:rPr>
          <w:rFonts w:cs="Arial"/>
        </w:rPr>
      </w:pPr>
    </w:p>
    <w:p w:rsidR="00563E98" w:rsidRDefault="00563E98">
      <w:pPr>
        <w:rPr>
          <w:rFonts w:cs="Arial"/>
          <w:b/>
          <w:bCs/>
          <w:sz w:val="20"/>
          <w:szCs w:val="20"/>
        </w:rPr>
      </w:pPr>
      <w:r>
        <w:rPr>
          <w:rFonts w:cs="Arial"/>
        </w:rPr>
        <w:br w:type="page"/>
      </w:r>
    </w:p>
    <w:p w:rsidR="005366C6" w:rsidRPr="008F48E1" w:rsidRDefault="005366C6" w:rsidP="005366C6">
      <w:pPr>
        <w:pStyle w:val="Caption"/>
        <w:keepNext/>
        <w:jc w:val="center"/>
        <w:rPr>
          <w:rFonts w:cs="Arial"/>
        </w:rPr>
      </w:pPr>
      <w:bookmarkStart w:id="31" w:name="_Toc438469109"/>
      <w:r w:rsidRPr="008F48E1">
        <w:rPr>
          <w:rFonts w:cs="Arial"/>
        </w:rPr>
        <w:lastRenderedPageBreak/>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C65AE2">
        <w:rPr>
          <w:rFonts w:cs="Arial"/>
          <w:noProof/>
        </w:rPr>
        <w:t>3</w:t>
      </w:r>
      <w:r w:rsidRPr="008F48E1">
        <w:rPr>
          <w:rFonts w:cs="Arial"/>
        </w:rPr>
        <w:fldChar w:fldCharType="end"/>
      </w:r>
      <w:r>
        <w:rPr>
          <w:rFonts w:cs="Arial"/>
        </w:rPr>
        <w:t xml:space="preserve"> DEER </w:t>
      </w:r>
      <w:r w:rsidRPr="008F48E1">
        <w:rPr>
          <w:rFonts w:cs="Arial"/>
        </w:rPr>
        <w:t>Net-to-Gross Ratios</w:t>
      </w:r>
      <w:bookmarkEnd w:id="31"/>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2353D5" w:rsidRPr="002353D5" w:rsidTr="00C42F61">
        <w:tc>
          <w:tcPr>
            <w:tcW w:w="808"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NTGR ID</w:t>
            </w:r>
          </w:p>
        </w:tc>
        <w:tc>
          <w:tcPr>
            <w:tcW w:w="1880"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Description</w:t>
            </w:r>
          </w:p>
        </w:tc>
        <w:tc>
          <w:tcPr>
            <w:tcW w:w="517"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Sector</w:t>
            </w:r>
          </w:p>
        </w:tc>
        <w:tc>
          <w:tcPr>
            <w:tcW w:w="611"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proofErr w:type="spellStart"/>
            <w:r w:rsidRPr="002353D5">
              <w:rPr>
                <w:rFonts w:ascii="Times New Roman" w:hAnsi="Times New Roman"/>
                <w:b/>
                <w:sz w:val="20"/>
                <w:szCs w:val="20"/>
              </w:rPr>
              <w:t>BldgType</w:t>
            </w:r>
            <w:proofErr w:type="spellEnd"/>
          </w:p>
        </w:tc>
        <w:tc>
          <w:tcPr>
            <w:tcW w:w="752"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Delivery Method</w:t>
            </w:r>
          </w:p>
        </w:tc>
        <w:tc>
          <w:tcPr>
            <w:tcW w:w="432" w:type="pct"/>
            <w:shd w:val="clear" w:color="auto" w:fill="D9D9D9" w:themeFill="background1" w:themeFillShade="D9"/>
            <w:vAlign w:val="center"/>
          </w:tcPr>
          <w:p w:rsidR="002353D5" w:rsidRPr="002353D5" w:rsidRDefault="002353D5" w:rsidP="002353D5">
            <w:pPr>
              <w:jc w:val="center"/>
              <w:rPr>
                <w:rFonts w:ascii="Times New Roman" w:hAnsi="Times New Roman"/>
                <w:b/>
                <w:sz w:val="20"/>
                <w:szCs w:val="20"/>
              </w:rPr>
            </w:pPr>
            <w:r w:rsidRPr="002353D5">
              <w:rPr>
                <w:rFonts w:ascii="Times New Roman" w:hAnsi="Times New Roman"/>
                <w:b/>
                <w:sz w:val="20"/>
                <w:szCs w:val="20"/>
              </w:rPr>
              <w:t>NTGR</w:t>
            </w:r>
          </w:p>
        </w:tc>
      </w:tr>
      <w:tr w:rsidR="002353D5" w:rsidRPr="002353D5" w:rsidTr="00C42F61">
        <w:tc>
          <w:tcPr>
            <w:tcW w:w="808" w:type="pct"/>
            <w:vAlign w:val="center"/>
          </w:tcPr>
          <w:p w:rsidR="002353D5" w:rsidRPr="002353D5" w:rsidRDefault="0077127E" w:rsidP="002353D5">
            <w:pPr>
              <w:jc w:val="center"/>
              <w:rPr>
                <w:rFonts w:ascii="Times New Roman" w:hAnsi="Times New Roman"/>
                <w:sz w:val="20"/>
                <w:szCs w:val="20"/>
              </w:rPr>
            </w:pPr>
            <w:r w:rsidRPr="0077127E">
              <w:rPr>
                <w:rFonts w:ascii="Times New Roman" w:hAnsi="Times New Roman"/>
                <w:sz w:val="20"/>
                <w:szCs w:val="20"/>
              </w:rPr>
              <w:t>Com-Default&gt;2yrs</w:t>
            </w:r>
          </w:p>
        </w:tc>
        <w:tc>
          <w:tcPr>
            <w:tcW w:w="1880" w:type="pct"/>
            <w:vAlign w:val="center"/>
          </w:tcPr>
          <w:p w:rsidR="002353D5" w:rsidRPr="002353D5" w:rsidRDefault="0077127E" w:rsidP="002353D5">
            <w:pPr>
              <w:jc w:val="center"/>
              <w:rPr>
                <w:rFonts w:ascii="Times New Roman" w:hAnsi="Times New Roman"/>
                <w:sz w:val="20"/>
                <w:szCs w:val="20"/>
              </w:rPr>
            </w:pPr>
            <w:r w:rsidRPr="0077127E">
              <w:rPr>
                <w:rFonts w:ascii="Times New Roman" w:hAnsi="Times New Roman"/>
                <w:sz w:val="20"/>
                <w:szCs w:val="20"/>
              </w:rPr>
              <w:t>All other EEMs with no evaluated NTGR; existing EEM in programs with same delivery mechanism for more than 2 years</w:t>
            </w:r>
          </w:p>
        </w:tc>
        <w:tc>
          <w:tcPr>
            <w:tcW w:w="517" w:type="pct"/>
            <w:vAlign w:val="center"/>
          </w:tcPr>
          <w:p w:rsidR="002353D5" w:rsidRPr="002353D5" w:rsidRDefault="0077127E" w:rsidP="002353D5">
            <w:pPr>
              <w:jc w:val="center"/>
              <w:rPr>
                <w:rFonts w:ascii="Times New Roman" w:hAnsi="Times New Roman"/>
                <w:sz w:val="20"/>
                <w:szCs w:val="20"/>
              </w:rPr>
            </w:pPr>
            <w:r>
              <w:rPr>
                <w:rFonts w:ascii="Times New Roman" w:hAnsi="Times New Roman"/>
                <w:sz w:val="20"/>
                <w:szCs w:val="20"/>
              </w:rPr>
              <w:t>Com</w:t>
            </w:r>
          </w:p>
        </w:tc>
        <w:tc>
          <w:tcPr>
            <w:tcW w:w="611" w:type="pct"/>
            <w:vAlign w:val="center"/>
          </w:tcPr>
          <w:p w:rsidR="002353D5" w:rsidRPr="002353D5" w:rsidRDefault="002353D5" w:rsidP="002353D5">
            <w:pPr>
              <w:jc w:val="center"/>
              <w:rPr>
                <w:rFonts w:ascii="Times New Roman" w:hAnsi="Times New Roman"/>
                <w:sz w:val="20"/>
                <w:szCs w:val="20"/>
              </w:rPr>
            </w:pPr>
            <w:r w:rsidRPr="002353D5">
              <w:rPr>
                <w:rFonts w:ascii="Times New Roman" w:hAnsi="Times New Roman"/>
                <w:sz w:val="20"/>
                <w:szCs w:val="20"/>
              </w:rPr>
              <w:t>Any</w:t>
            </w:r>
          </w:p>
        </w:tc>
        <w:tc>
          <w:tcPr>
            <w:tcW w:w="752" w:type="pct"/>
            <w:vAlign w:val="center"/>
          </w:tcPr>
          <w:p w:rsidR="002353D5" w:rsidRPr="002353D5" w:rsidRDefault="0077127E" w:rsidP="002353D5">
            <w:pPr>
              <w:jc w:val="center"/>
              <w:rPr>
                <w:rFonts w:ascii="Times New Roman" w:hAnsi="Times New Roman"/>
                <w:sz w:val="20"/>
                <w:szCs w:val="20"/>
              </w:rPr>
            </w:pPr>
            <w:r>
              <w:rPr>
                <w:rFonts w:ascii="Times New Roman" w:hAnsi="Times New Roman"/>
                <w:sz w:val="20"/>
                <w:szCs w:val="20"/>
              </w:rPr>
              <w:t>Any</w:t>
            </w:r>
          </w:p>
        </w:tc>
        <w:tc>
          <w:tcPr>
            <w:tcW w:w="432" w:type="pct"/>
            <w:vAlign w:val="center"/>
          </w:tcPr>
          <w:p w:rsidR="002353D5" w:rsidRPr="002353D5" w:rsidRDefault="002353D5" w:rsidP="002353D5">
            <w:pPr>
              <w:jc w:val="center"/>
              <w:rPr>
                <w:rFonts w:ascii="Times New Roman" w:hAnsi="Times New Roman"/>
                <w:sz w:val="20"/>
                <w:szCs w:val="20"/>
              </w:rPr>
            </w:pPr>
            <w:r w:rsidRPr="002353D5">
              <w:rPr>
                <w:rFonts w:ascii="Times New Roman" w:hAnsi="Times New Roman"/>
                <w:sz w:val="20"/>
                <w:szCs w:val="20"/>
              </w:rPr>
              <w:t>0.6</w:t>
            </w:r>
          </w:p>
        </w:tc>
      </w:tr>
    </w:tbl>
    <w:p w:rsidR="005366C6" w:rsidRPr="00CE0C1E" w:rsidRDefault="005366C6" w:rsidP="005366C6">
      <w:pPr>
        <w:ind w:left="720"/>
        <w:rPr>
          <w:rFonts w:cs="Arial"/>
          <w:sz w:val="20"/>
          <w:szCs w:val="20"/>
        </w:rPr>
      </w:pPr>
    </w:p>
    <w:p w:rsidR="00D863F6" w:rsidRDefault="00D863F6" w:rsidP="005366C6">
      <w:r>
        <w:rPr>
          <w:b/>
        </w:rPr>
        <w:t>Spillage Rate</w:t>
      </w:r>
      <w:r>
        <w:t>:  Spillage rates are not tracked in work papers; they are tracked in an external document which will be supplied to the Commission Staff.</w:t>
      </w:r>
    </w:p>
    <w:p w:rsidR="00D863F6" w:rsidRDefault="00D863F6" w:rsidP="005366C6"/>
    <w:p w:rsidR="005366C6" w:rsidRDefault="00D863F6" w:rsidP="005366C6">
      <w:r>
        <w:rPr>
          <w:b/>
        </w:rPr>
        <w:t>I</w:t>
      </w:r>
      <w:r w:rsidR="00FD3162" w:rsidRPr="008A1DA4">
        <w:rPr>
          <w:b/>
        </w:rPr>
        <w:t xml:space="preserve">nstallation </w:t>
      </w:r>
      <w:r>
        <w:rPr>
          <w:b/>
        </w:rPr>
        <w:t>R</w:t>
      </w:r>
      <w:r w:rsidR="00FD3162" w:rsidRPr="008A1DA4">
        <w:rPr>
          <w:b/>
        </w:rPr>
        <w:t>ate</w:t>
      </w:r>
      <w:r w:rsidR="00FD3162" w:rsidRPr="008A1DA4">
        <w:t xml:space="preserve">: </w:t>
      </w:r>
      <w:r>
        <w:t xml:space="preserve"> </w:t>
      </w:r>
      <w:r w:rsidR="00FD3162" w:rsidRPr="008A1DA4">
        <w:t xml:space="preserve">The </w:t>
      </w:r>
      <w:r>
        <w:t>IR value was obtained using the DEER READI tool.  The relevant IR value for the measures in this work paper is in the table below:</w:t>
      </w:r>
    </w:p>
    <w:p w:rsidR="00D863F6" w:rsidRPr="008A1DA4" w:rsidRDefault="00D863F6" w:rsidP="005366C6"/>
    <w:p w:rsidR="00D863F6" w:rsidRDefault="00D863F6" w:rsidP="00D863F6">
      <w:pPr>
        <w:pStyle w:val="Caption"/>
        <w:keepNext/>
        <w:jc w:val="center"/>
      </w:pPr>
      <w:bookmarkStart w:id="32" w:name="_Toc438469110"/>
      <w:r>
        <w:t xml:space="preserve">Table </w:t>
      </w:r>
      <w:r w:rsidR="00C65AE2">
        <w:fldChar w:fldCharType="begin"/>
      </w:r>
      <w:r w:rsidR="00C65AE2">
        <w:instrText xml:space="preserve"> SEQ Table \* ARABIC </w:instrText>
      </w:r>
      <w:r w:rsidR="00C65AE2">
        <w:fldChar w:fldCharType="separate"/>
      </w:r>
      <w:r w:rsidR="00C65AE2">
        <w:rPr>
          <w:noProof/>
        </w:rPr>
        <w:t>4</w:t>
      </w:r>
      <w:r w:rsidR="00C65AE2">
        <w:rPr>
          <w:noProof/>
        </w:rPr>
        <w:fldChar w:fldCharType="end"/>
      </w:r>
      <w:r>
        <w:t xml:space="preserve"> Installation Rate</w:t>
      </w:r>
      <w:bookmarkEnd w:id="32"/>
    </w:p>
    <w:tbl>
      <w:tblPr>
        <w:tblStyle w:val="TableGrid1"/>
        <w:tblW w:w="5000" w:type="pct"/>
        <w:tblLook w:val="01E0" w:firstRow="1" w:lastRow="1" w:firstColumn="1" w:lastColumn="1" w:noHBand="0" w:noVBand="0"/>
      </w:tblPr>
      <w:tblGrid>
        <w:gridCol w:w="1355"/>
        <w:gridCol w:w="2663"/>
        <w:gridCol w:w="1292"/>
        <w:gridCol w:w="1616"/>
        <w:gridCol w:w="1390"/>
        <w:gridCol w:w="1260"/>
      </w:tblGrid>
      <w:tr w:rsidR="00D863F6" w:rsidRPr="00D863F6" w:rsidTr="00D863F6">
        <w:tc>
          <w:tcPr>
            <w:tcW w:w="707" w:type="pct"/>
            <w:shd w:val="clear" w:color="auto" w:fill="D9D9D9" w:themeFill="background1" w:themeFillShade="D9"/>
          </w:tcPr>
          <w:p w:rsidR="00D863F6" w:rsidRPr="00D863F6" w:rsidRDefault="00D863F6" w:rsidP="00C42F61">
            <w:pPr>
              <w:rPr>
                <w:rFonts w:ascii="Times New Roman" w:hAnsi="Times New Roman"/>
                <w:b/>
                <w:sz w:val="20"/>
                <w:szCs w:val="20"/>
              </w:rPr>
            </w:pPr>
            <w:r w:rsidRPr="00D863F6">
              <w:rPr>
                <w:rFonts w:ascii="Times New Roman" w:hAnsi="Times New Roman"/>
                <w:b/>
                <w:sz w:val="20"/>
                <w:szCs w:val="20"/>
              </w:rPr>
              <w:t>GSIA ID</w:t>
            </w:r>
          </w:p>
        </w:tc>
        <w:tc>
          <w:tcPr>
            <w:tcW w:w="1390" w:type="pct"/>
            <w:shd w:val="clear" w:color="auto" w:fill="D9D9D9" w:themeFill="background1" w:themeFillShade="D9"/>
          </w:tcPr>
          <w:p w:rsidR="00D863F6" w:rsidRPr="00D863F6" w:rsidRDefault="00D863F6" w:rsidP="00C42F61">
            <w:pPr>
              <w:rPr>
                <w:rFonts w:ascii="Times New Roman" w:hAnsi="Times New Roman"/>
                <w:b/>
                <w:sz w:val="20"/>
                <w:szCs w:val="20"/>
              </w:rPr>
            </w:pPr>
            <w:r w:rsidRPr="00D863F6">
              <w:rPr>
                <w:rFonts w:ascii="Times New Roman" w:hAnsi="Times New Roman"/>
                <w:b/>
                <w:sz w:val="20"/>
                <w:szCs w:val="20"/>
              </w:rPr>
              <w:t>Description</w:t>
            </w:r>
          </w:p>
        </w:tc>
        <w:tc>
          <w:tcPr>
            <w:tcW w:w="674" w:type="pct"/>
            <w:shd w:val="clear" w:color="auto" w:fill="D9D9D9" w:themeFill="background1" w:themeFillShade="D9"/>
          </w:tcPr>
          <w:p w:rsidR="00D863F6" w:rsidRPr="00D863F6" w:rsidRDefault="00D863F6" w:rsidP="00C42F61">
            <w:pPr>
              <w:rPr>
                <w:rFonts w:ascii="Times New Roman" w:hAnsi="Times New Roman"/>
                <w:b/>
                <w:sz w:val="20"/>
                <w:szCs w:val="20"/>
              </w:rPr>
            </w:pPr>
            <w:r w:rsidRPr="00D863F6">
              <w:rPr>
                <w:rFonts w:ascii="Times New Roman" w:hAnsi="Times New Roman"/>
                <w:b/>
                <w:sz w:val="20"/>
                <w:szCs w:val="20"/>
              </w:rPr>
              <w:t>Sector</w:t>
            </w:r>
          </w:p>
        </w:tc>
        <w:tc>
          <w:tcPr>
            <w:tcW w:w="844" w:type="pct"/>
            <w:shd w:val="clear" w:color="auto" w:fill="D9D9D9" w:themeFill="background1" w:themeFillShade="D9"/>
          </w:tcPr>
          <w:p w:rsidR="00D863F6" w:rsidRPr="00D863F6" w:rsidRDefault="00D863F6" w:rsidP="00C42F61">
            <w:pPr>
              <w:rPr>
                <w:rFonts w:ascii="Times New Roman" w:hAnsi="Times New Roman"/>
                <w:b/>
                <w:sz w:val="20"/>
                <w:szCs w:val="20"/>
              </w:rPr>
            </w:pPr>
            <w:proofErr w:type="spellStart"/>
            <w:r w:rsidRPr="00D863F6">
              <w:rPr>
                <w:rFonts w:ascii="Times New Roman" w:hAnsi="Times New Roman"/>
                <w:b/>
                <w:sz w:val="20"/>
                <w:szCs w:val="20"/>
              </w:rPr>
              <w:t>BldgType</w:t>
            </w:r>
            <w:proofErr w:type="spellEnd"/>
          </w:p>
        </w:tc>
        <w:tc>
          <w:tcPr>
            <w:tcW w:w="726" w:type="pct"/>
            <w:shd w:val="clear" w:color="auto" w:fill="D9D9D9" w:themeFill="background1" w:themeFillShade="D9"/>
          </w:tcPr>
          <w:p w:rsidR="00D863F6" w:rsidRPr="00D863F6" w:rsidRDefault="00D863F6" w:rsidP="00C42F61">
            <w:pPr>
              <w:rPr>
                <w:rFonts w:ascii="Times New Roman" w:hAnsi="Times New Roman"/>
                <w:b/>
                <w:sz w:val="20"/>
                <w:szCs w:val="20"/>
              </w:rPr>
            </w:pPr>
            <w:proofErr w:type="spellStart"/>
            <w:r w:rsidRPr="00D863F6">
              <w:rPr>
                <w:rFonts w:ascii="Times New Roman" w:hAnsi="Times New Roman"/>
                <w:b/>
                <w:sz w:val="20"/>
                <w:szCs w:val="20"/>
              </w:rPr>
              <w:t>ProgDelivID</w:t>
            </w:r>
            <w:proofErr w:type="spellEnd"/>
          </w:p>
        </w:tc>
        <w:tc>
          <w:tcPr>
            <w:tcW w:w="658" w:type="pct"/>
            <w:shd w:val="clear" w:color="auto" w:fill="D9D9D9" w:themeFill="background1" w:themeFillShade="D9"/>
          </w:tcPr>
          <w:p w:rsidR="00D863F6" w:rsidRPr="00D863F6" w:rsidRDefault="00D863F6" w:rsidP="00C42F61">
            <w:pPr>
              <w:rPr>
                <w:rFonts w:ascii="Times New Roman" w:hAnsi="Times New Roman"/>
                <w:b/>
                <w:sz w:val="20"/>
                <w:szCs w:val="20"/>
              </w:rPr>
            </w:pPr>
            <w:proofErr w:type="spellStart"/>
            <w:r w:rsidRPr="00D863F6">
              <w:rPr>
                <w:rFonts w:ascii="Times New Roman" w:hAnsi="Times New Roman"/>
                <w:b/>
                <w:sz w:val="20"/>
                <w:szCs w:val="20"/>
              </w:rPr>
              <w:t>GSIAValue</w:t>
            </w:r>
            <w:proofErr w:type="spellEnd"/>
          </w:p>
        </w:tc>
      </w:tr>
      <w:tr w:rsidR="00D863F6" w:rsidRPr="00D863F6" w:rsidTr="00D863F6">
        <w:tc>
          <w:tcPr>
            <w:tcW w:w="707" w:type="pct"/>
          </w:tcPr>
          <w:p w:rsidR="00D863F6" w:rsidRPr="00D863F6" w:rsidRDefault="00D863F6" w:rsidP="00C42F61">
            <w:pPr>
              <w:rPr>
                <w:rFonts w:ascii="Times New Roman" w:hAnsi="Times New Roman"/>
                <w:sz w:val="20"/>
                <w:szCs w:val="20"/>
              </w:rPr>
            </w:pPr>
            <w:proofErr w:type="spellStart"/>
            <w:r w:rsidRPr="00D863F6">
              <w:rPr>
                <w:rFonts w:ascii="Times New Roman" w:hAnsi="Times New Roman"/>
                <w:sz w:val="20"/>
                <w:szCs w:val="20"/>
              </w:rPr>
              <w:t>Def</w:t>
            </w:r>
            <w:proofErr w:type="spellEnd"/>
            <w:r w:rsidRPr="00D863F6">
              <w:rPr>
                <w:rFonts w:ascii="Times New Roman" w:hAnsi="Times New Roman"/>
                <w:sz w:val="20"/>
                <w:szCs w:val="20"/>
              </w:rPr>
              <w:t>-GSIA</w:t>
            </w:r>
          </w:p>
        </w:tc>
        <w:tc>
          <w:tcPr>
            <w:tcW w:w="1390"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Default GSIA values</w:t>
            </w:r>
          </w:p>
        </w:tc>
        <w:tc>
          <w:tcPr>
            <w:tcW w:w="674"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Any</w:t>
            </w:r>
          </w:p>
        </w:tc>
        <w:tc>
          <w:tcPr>
            <w:tcW w:w="844"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Any</w:t>
            </w:r>
          </w:p>
        </w:tc>
        <w:tc>
          <w:tcPr>
            <w:tcW w:w="726"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Any</w:t>
            </w:r>
          </w:p>
        </w:tc>
        <w:tc>
          <w:tcPr>
            <w:tcW w:w="658" w:type="pct"/>
          </w:tcPr>
          <w:p w:rsidR="00D863F6" w:rsidRPr="00D863F6" w:rsidRDefault="00D863F6" w:rsidP="00C42F61">
            <w:pPr>
              <w:rPr>
                <w:rFonts w:ascii="Times New Roman" w:hAnsi="Times New Roman"/>
                <w:sz w:val="20"/>
                <w:szCs w:val="20"/>
              </w:rPr>
            </w:pPr>
            <w:r w:rsidRPr="00D863F6">
              <w:rPr>
                <w:rFonts w:ascii="Times New Roman" w:hAnsi="Times New Roman"/>
                <w:sz w:val="20"/>
                <w:szCs w:val="20"/>
              </w:rPr>
              <w:t>1</w:t>
            </w:r>
          </w:p>
        </w:tc>
      </w:tr>
    </w:tbl>
    <w:p w:rsidR="005366C6" w:rsidRPr="005366C6" w:rsidRDefault="005366C6" w:rsidP="005366C6">
      <w:pPr>
        <w:rPr>
          <w:rFonts w:cs="Arial"/>
        </w:rPr>
      </w:pPr>
    </w:p>
    <w:p w:rsidR="00D863F6" w:rsidRDefault="00D863F6" w:rsidP="00D863F6">
      <w:r w:rsidRPr="008A1DA4">
        <w:rPr>
          <w:b/>
        </w:rPr>
        <w:t>Effective Useful Life:</w:t>
      </w:r>
      <w:r>
        <w:rPr>
          <w:b/>
        </w:rPr>
        <w:t xml:space="preserve"> </w:t>
      </w:r>
      <w:r w:rsidRPr="008A1DA4">
        <w:t xml:space="preserve"> </w:t>
      </w:r>
      <w:r>
        <w:t xml:space="preserve">The EUL </w:t>
      </w:r>
      <w:r w:rsidR="00563E98">
        <w:t>value</w:t>
      </w:r>
      <w:r>
        <w:t xml:space="preserve"> </w:t>
      </w:r>
      <w:r w:rsidR="00563E98">
        <w:t>was</w:t>
      </w:r>
      <w:r>
        <w:t xml:space="preserve"> obtained using the DEER READI tool.  </w:t>
      </w:r>
      <w:r w:rsidR="00A05240">
        <w:t xml:space="preserve">The relevant EUL value for the measurers in this work paper </w:t>
      </w:r>
      <w:r w:rsidR="00563E98">
        <w:t xml:space="preserve">is </w:t>
      </w:r>
      <w:r w:rsidR="00A05240">
        <w:t>listed in the table below:</w:t>
      </w:r>
    </w:p>
    <w:p w:rsidR="00D863F6" w:rsidRDefault="00D863F6" w:rsidP="00D863F6"/>
    <w:p w:rsidR="00A05240" w:rsidRDefault="00A05240" w:rsidP="00A05240">
      <w:pPr>
        <w:pStyle w:val="Caption"/>
        <w:keepNext/>
        <w:jc w:val="center"/>
      </w:pPr>
      <w:bookmarkStart w:id="33" w:name="_Toc438469111"/>
      <w:r>
        <w:t xml:space="preserve">Table </w:t>
      </w:r>
      <w:r w:rsidR="00C65AE2">
        <w:fldChar w:fldCharType="begin"/>
      </w:r>
      <w:r w:rsidR="00C65AE2">
        <w:instrText xml:space="preserve"> SEQ Table \* ARABIC </w:instrText>
      </w:r>
      <w:r w:rsidR="00C65AE2">
        <w:fldChar w:fldCharType="separate"/>
      </w:r>
      <w:r w:rsidR="00C65AE2">
        <w:rPr>
          <w:noProof/>
        </w:rPr>
        <w:t>5</w:t>
      </w:r>
      <w:r w:rsidR="00C65AE2">
        <w:rPr>
          <w:noProof/>
        </w:rPr>
        <w:fldChar w:fldCharType="end"/>
      </w:r>
      <w:r>
        <w:t xml:space="preserve"> Effective Useful Life</w:t>
      </w:r>
      <w:bookmarkEnd w:id="33"/>
    </w:p>
    <w:tbl>
      <w:tblPr>
        <w:tblStyle w:val="TableGrid1"/>
        <w:tblW w:w="5000" w:type="pct"/>
        <w:tblLook w:val="04A0" w:firstRow="1" w:lastRow="0" w:firstColumn="1" w:lastColumn="0" w:noHBand="0" w:noVBand="1"/>
      </w:tblPr>
      <w:tblGrid>
        <w:gridCol w:w="1738"/>
        <w:gridCol w:w="4254"/>
        <w:gridCol w:w="996"/>
        <w:gridCol w:w="1494"/>
        <w:gridCol w:w="1094"/>
      </w:tblGrid>
      <w:tr w:rsidR="00A05240" w:rsidRPr="00D863F6" w:rsidTr="00A05240">
        <w:tc>
          <w:tcPr>
            <w:tcW w:w="908"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r w:rsidRPr="00D863F6">
              <w:rPr>
                <w:rFonts w:ascii="Times New Roman" w:hAnsi="Times New Roman"/>
                <w:b/>
                <w:sz w:val="20"/>
                <w:szCs w:val="20"/>
              </w:rPr>
              <w:t>EUL ID</w:t>
            </w:r>
          </w:p>
        </w:tc>
        <w:tc>
          <w:tcPr>
            <w:tcW w:w="2221"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r w:rsidRPr="00D863F6">
              <w:rPr>
                <w:rFonts w:ascii="Times New Roman" w:hAnsi="Times New Roman"/>
                <w:b/>
                <w:sz w:val="20"/>
                <w:szCs w:val="20"/>
              </w:rPr>
              <w:t>Description</w:t>
            </w:r>
          </w:p>
        </w:tc>
        <w:tc>
          <w:tcPr>
            <w:tcW w:w="520"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r w:rsidRPr="00D863F6">
              <w:rPr>
                <w:rFonts w:ascii="Times New Roman" w:hAnsi="Times New Roman"/>
                <w:b/>
                <w:sz w:val="20"/>
                <w:szCs w:val="20"/>
              </w:rPr>
              <w:t>Sector</w:t>
            </w:r>
          </w:p>
        </w:tc>
        <w:tc>
          <w:tcPr>
            <w:tcW w:w="780"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proofErr w:type="spellStart"/>
            <w:r w:rsidRPr="00D863F6">
              <w:rPr>
                <w:rFonts w:ascii="Times New Roman" w:hAnsi="Times New Roman"/>
                <w:b/>
                <w:sz w:val="20"/>
                <w:szCs w:val="20"/>
              </w:rPr>
              <w:t>UseCategory</w:t>
            </w:r>
            <w:proofErr w:type="spellEnd"/>
          </w:p>
        </w:tc>
        <w:tc>
          <w:tcPr>
            <w:tcW w:w="571" w:type="pct"/>
            <w:shd w:val="clear" w:color="auto" w:fill="D9D9D9" w:themeFill="background1" w:themeFillShade="D9"/>
            <w:vAlign w:val="center"/>
          </w:tcPr>
          <w:p w:rsidR="00A05240" w:rsidRPr="00D863F6" w:rsidRDefault="00A05240" w:rsidP="00C42F61">
            <w:pPr>
              <w:jc w:val="center"/>
              <w:rPr>
                <w:rFonts w:ascii="Times New Roman" w:hAnsi="Times New Roman"/>
                <w:b/>
                <w:sz w:val="20"/>
                <w:szCs w:val="20"/>
              </w:rPr>
            </w:pPr>
            <w:r w:rsidRPr="00D863F6">
              <w:rPr>
                <w:rFonts w:ascii="Times New Roman" w:hAnsi="Times New Roman"/>
                <w:b/>
                <w:sz w:val="20"/>
                <w:szCs w:val="20"/>
              </w:rPr>
              <w:t>EUL (Years)</w:t>
            </w:r>
          </w:p>
        </w:tc>
      </w:tr>
      <w:tr w:rsidR="00A05240" w:rsidRPr="00D863F6" w:rsidTr="00A05240">
        <w:trPr>
          <w:trHeight w:val="243"/>
        </w:trPr>
        <w:tc>
          <w:tcPr>
            <w:tcW w:w="908" w:type="pct"/>
            <w:vAlign w:val="center"/>
          </w:tcPr>
          <w:p w:rsidR="00A05240" w:rsidRPr="00D863F6" w:rsidRDefault="0077127E" w:rsidP="00C42F61">
            <w:pPr>
              <w:jc w:val="center"/>
              <w:rPr>
                <w:rFonts w:ascii="Times New Roman" w:hAnsi="Times New Roman"/>
                <w:sz w:val="20"/>
                <w:szCs w:val="20"/>
              </w:rPr>
            </w:pPr>
            <w:r w:rsidRPr="0077127E">
              <w:rPr>
                <w:rFonts w:ascii="Times New Roman" w:hAnsi="Times New Roman"/>
                <w:sz w:val="20"/>
                <w:szCs w:val="20"/>
              </w:rPr>
              <w:t>OLtg-Com-LED-50000hr</w:t>
            </w:r>
          </w:p>
        </w:tc>
        <w:tc>
          <w:tcPr>
            <w:tcW w:w="2221" w:type="pct"/>
            <w:vAlign w:val="center"/>
          </w:tcPr>
          <w:p w:rsidR="00A05240" w:rsidRPr="00D863F6" w:rsidRDefault="0077127E" w:rsidP="00C42F61">
            <w:pPr>
              <w:jc w:val="center"/>
              <w:rPr>
                <w:rFonts w:ascii="Times New Roman" w:hAnsi="Times New Roman"/>
                <w:sz w:val="20"/>
                <w:szCs w:val="20"/>
              </w:rPr>
            </w:pPr>
            <w:r w:rsidRPr="0077127E">
              <w:rPr>
                <w:rFonts w:ascii="Times New Roman" w:hAnsi="Times New Roman"/>
                <w:sz w:val="20"/>
                <w:szCs w:val="20"/>
              </w:rPr>
              <w:t>LED Fixture - Outdoor- Commercial</w:t>
            </w:r>
          </w:p>
        </w:tc>
        <w:tc>
          <w:tcPr>
            <w:tcW w:w="520" w:type="pct"/>
            <w:vAlign w:val="center"/>
          </w:tcPr>
          <w:p w:rsidR="00A05240" w:rsidRPr="00D863F6" w:rsidRDefault="0077127E" w:rsidP="00C42F61">
            <w:pPr>
              <w:jc w:val="center"/>
              <w:rPr>
                <w:rFonts w:ascii="Times New Roman" w:hAnsi="Times New Roman"/>
                <w:sz w:val="20"/>
                <w:szCs w:val="20"/>
              </w:rPr>
            </w:pPr>
            <w:r>
              <w:rPr>
                <w:rFonts w:ascii="Times New Roman" w:hAnsi="Times New Roman"/>
                <w:sz w:val="20"/>
                <w:szCs w:val="20"/>
              </w:rPr>
              <w:t>Com</w:t>
            </w:r>
          </w:p>
        </w:tc>
        <w:tc>
          <w:tcPr>
            <w:tcW w:w="780" w:type="pct"/>
            <w:vAlign w:val="center"/>
          </w:tcPr>
          <w:p w:rsidR="00A05240" w:rsidRPr="00D863F6" w:rsidRDefault="00A05240" w:rsidP="00C42F61">
            <w:pPr>
              <w:jc w:val="center"/>
              <w:rPr>
                <w:rFonts w:ascii="Times New Roman" w:hAnsi="Times New Roman"/>
                <w:sz w:val="20"/>
                <w:szCs w:val="20"/>
              </w:rPr>
            </w:pPr>
            <w:r>
              <w:rPr>
                <w:rFonts w:ascii="Times New Roman" w:hAnsi="Times New Roman"/>
                <w:sz w:val="20"/>
                <w:szCs w:val="20"/>
              </w:rPr>
              <w:t>Lighting</w:t>
            </w:r>
          </w:p>
        </w:tc>
        <w:tc>
          <w:tcPr>
            <w:tcW w:w="571" w:type="pct"/>
            <w:vAlign w:val="center"/>
          </w:tcPr>
          <w:p w:rsidR="00A05240" w:rsidRPr="00D863F6" w:rsidRDefault="00A05240" w:rsidP="00C42F61">
            <w:pPr>
              <w:jc w:val="center"/>
              <w:rPr>
                <w:rFonts w:ascii="Times New Roman" w:hAnsi="Times New Roman"/>
                <w:sz w:val="20"/>
                <w:szCs w:val="20"/>
              </w:rPr>
            </w:pPr>
            <w:r>
              <w:rPr>
                <w:rFonts w:ascii="Times New Roman" w:hAnsi="Times New Roman"/>
                <w:sz w:val="20"/>
                <w:szCs w:val="20"/>
              </w:rPr>
              <w:t>12</w:t>
            </w:r>
          </w:p>
        </w:tc>
      </w:tr>
    </w:tbl>
    <w:p w:rsidR="00D863F6" w:rsidRDefault="00D863F6" w:rsidP="00D863F6"/>
    <w:p w:rsidR="00884FE6" w:rsidRPr="002809C7" w:rsidRDefault="00A47FE3" w:rsidP="00D863F6">
      <w:pPr>
        <w:pStyle w:val="Heading2"/>
        <w:spacing w:before="0"/>
      </w:pPr>
      <w:bookmarkStart w:id="34" w:name="_Toc438469092"/>
      <w:r w:rsidRPr="008A1DA4">
        <w:t>1.</w:t>
      </w:r>
      <w:r w:rsidR="000C5B86">
        <w:t>4.2</w:t>
      </w:r>
      <w:r w:rsidRPr="008A1DA4">
        <w:t xml:space="preserve"> </w:t>
      </w:r>
      <w:r w:rsidR="00884FE6" w:rsidRPr="001248A3">
        <w:t xml:space="preserve">Codes &amp; Standards Requirements </w:t>
      </w:r>
      <w:r w:rsidR="00884FE6">
        <w:t>Base Case and Measure Information</w:t>
      </w:r>
      <w:bookmarkEnd w:id="34"/>
    </w:p>
    <w:p w:rsidR="000B0167" w:rsidRPr="0077127E" w:rsidRDefault="00A47FE3" w:rsidP="000D098D">
      <w:pPr>
        <w:rPr>
          <w:highlight w:val="yellow"/>
        </w:rPr>
      </w:pPr>
      <w:r w:rsidRPr="007732F4">
        <w:rPr>
          <w:b/>
          <w:i/>
        </w:rPr>
        <w:t>Title 20</w:t>
      </w:r>
      <w:r w:rsidRPr="007732F4">
        <w:t>: These measures do not fall under Title 20</w:t>
      </w:r>
      <w:r w:rsidR="006F44F8" w:rsidRPr="007732F4">
        <w:t xml:space="preserve"> [2015]</w:t>
      </w:r>
      <w:r w:rsidRPr="007732F4">
        <w:t xml:space="preserve"> of the California Energy Regulations.</w:t>
      </w:r>
    </w:p>
    <w:p w:rsidR="000B0167" w:rsidRPr="0077127E" w:rsidRDefault="000B0167" w:rsidP="00FF747D">
      <w:pPr>
        <w:rPr>
          <w:highlight w:val="yellow"/>
        </w:rPr>
      </w:pPr>
    </w:p>
    <w:p w:rsidR="00B474DB" w:rsidRPr="0077127E" w:rsidRDefault="00A47FE3" w:rsidP="00B474DB">
      <w:pPr>
        <w:rPr>
          <w:highlight w:val="yellow"/>
        </w:rPr>
      </w:pPr>
      <w:r w:rsidRPr="007732F4">
        <w:rPr>
          <w:b/>
          <w:i/>
        </w:rPr>
        <w:t>Title 24:</w:t>
      </w:r>
      <w:r w:rsidRPr="007732F4">
        <w:t xml:space="preserve"> </w:t>
      </w:r>
      <w:r w:rsidR="007732F4" w:rsidRPr="007732F4">
        <w:t xml:space="preserve">Section 110.9 </w:t>
      </w:r>
      <w:r w:rsidR="007732F4">
        <w:t xml:space="preserve">and 130.2 of Title 24 [2013] </w:t>
      </w:r>
      <w:r w:rsidR="007732F4" w:rsidRPr="007732F4">
        <w:t>details the mandatory requirements for lighting control devices and sy</w:t>
      </w:r>
      <w:r w:rsidR="007732F4">
        <w:t>stems, ballasts, and luminaires and outdoor lighting controls and equipment.</w:t>
      </w:r>
    </w:p>
    <w:p w:rsidR="008A0C5E" w:rsidRPr="0077127E" w:rsidRDefault="008A0C5E" w:rsidP="008A0C5E">
      <w:pPr>
        <w:rPr>
          <w:highlight w:val="yellow"/>
        </w:rPr>
      </w:pPr>
    </w:p>
    <w:p w:rsidR="000B0167" w:rsidRPr="008A1DA4" w:rsidRDefault="00A47FE3" w:rsidP="007100F8">
      <w:r w:rsidRPr="007732F4">
        <w:rPr>
          <w:b/>
          <w:i/>
        </w:rPr>
        <w:t>Federal Standards:</w:t>
      </w:r>
      <w:r w:rsidRPr="007732F4">
        <w:t xml:space="preserve"> These measures do not fall under Federal DOE or EPA Energy Regulations.</w:t>
      </w:r>
    </w:p>
    <w:p w:rsidR="00884FE6" w:rsidRPr="00175468" w:rsidRDefault="00A47FE3" w:rsidP="00884FE6">
      <w:pPr>
        <w:pStyle w:val="Heading2"/>
        <w:keepNext w:val="0"/>
      </w:pPr>
      <w:bookmarkStart w:id="35" w:name="_Toc438469093"/>
      <w:r w:rsidRPr="008A1DA4">
        <w:t>1.4</w:t>
      </w:r>
      <w:r w:rsidR="000C5B86">
        <w:t>.3</w:t>
      </w:r>
      <w:r w:rsidRPr="008A1DA4">
        <w:t xml:space="preserve"> </w:t>
      </w:r>
      <w:r w:rsidR="00884FE6" w:rsidRPr="001248A3">
        <w:t>EM&amp;V</w:t>
      </w:r>
      <w:r w:rsidR="00884FE6">
        <w:t>, Market Potential,</w:t>
      </w:r>
      <w:r w:rsidR="00884FE6" w:rsidRPr="001248A3">
        <w:t xml:space="preserve"> </w:t>
      </w:r>
      <w:r w:rsidR="00884FE6">
        <w:t xml:space="preserve">and Other </w:t>
      </w:r>
      <w:r w:rsidR="00884FE6" w:rsidRPr="001248A3">
        <w:t>Studies</w:t>
      </w:r>
      <w:r w:rsidR="00884FE6">
        <w:t xml:space="preserve"> – Base Case and Measure Case Information</w:t>
      </w:r>
      <w:bookmarkEnd w:id="35"/>
      <w:r w:rsidR="00884FE6">
        <w:rPr>
          <w:sz w:val="20"/>
          <w:szCs w:val="20"/>
        </w:rPr>
        <w:t xml:space="preserve"> </w:t>
      </w:r>
    </w:p>
    <w:p w:rsidR="00AA4084" w:rsidRPr="00884FE6" w:rsidRDefault="00AA4084" w:rsidP="000D098D">
      <w:bookmarkStart w:id="36" w:name="_Toc389469289"/>
      <w:r w:rsidRPr="00884FE6">
        <w:t>Since there is uncertainty regarding manufacturer’s claims of LED efficiency and rated life, this work paper draws from the Commercially Available LED Product Evaluation and Reporting (CALiPER) Program of the U.S. Department of Energy. CALiPER results were used to define accurate power draw and lumen output estimates for LED technology. CALiPER results include outdoor applications in most rounds of testing, but the premise of this paper relies most heavily on Round 11, which covered outdoor applications extensively.</w:t>
      </w:r>
      <w:bookmarkStart w:id="37" w:name="_Ref327861787"/>
      <w:r w:rsidRPr="00884FE6">
        <w:rPr>
          <w:rStyle w:val="EndnoteReference"/>
          <w:b/>
          <w:i/>
        </w:rPr>
        <w:endnoteReference w:id="11"/>
      </w:r>
      <w:bookmarkEnd w:id="36"/>
      <w:bookmarkEnd w:id="37"/>
    </w:p>
    <w:p w:rsidR="00AA4084" w:rsidRPr="00714B3D" w:rsidRDefault="00AA4084" w:rsidP="000D098D"/>
    <w:p w:rsidR="000B0167" w:rsidRPr="008A1DA4" w:rsidRDefault="00A47FE3" w:rsidP="000D098D">
      <w:r w:rsidRPr="008A1DA4">
        <w:t xml:space="preserve">The Emerging Technologies </w:t>
      </w:r>
      <w:r w:rsidR="0011669B" w:rsidRPr="008A1DA4">
        <w:t xml:space="preserve">(ET) </w:t>
      </w:r>
      <w:r w:rsidRPr="008A1DA4">
        <w:t xml:space="preserve">Program Application Assessment report LED Street Lighting: Oakland, CA </w:t>
      </w:r>
      <w:r w:rsidR="00CC1116" w:rsidRPr="008A1DA4">
        <w:t>(</w:t>
      </w:r>
      <w:r w:rsidR="008E2933" w:rsidRPr="008A1DA4">
        <w:t>Application Assessment #0714)</w:t>
      </w:r>
      <w:r w:rsidR="00CC1116" w:rsidRPr="008A1DA4">
        <w:t xml:space="preserve"> </w:t>
      </w:r>
      <w:r w:rsidRPr="008A1DA4">
        <w:t>provide</w:t>
      </w:r>
      <w:r w:rsidR="00512282">
        <w:t>d</w:t>
      </w:r>
      <w:r w:rsidRPr="008A1DA4">
        <w:t xml:space="preserve"> the </w:t>
      </w:r>
      <w:r w:rsidR="00AA4084">
        <w:t xml:space="preserve">original </w:t>
      </w:r>
      <w:r w:rsidRPr="008A1DA4">
        <w:t>basis for this work paper.</w:t>
      </w:r>
      <w:bookmarkStart w:id="38" w:name="_Ref327861961"/>
      <w:r w:rsidR="00E12769">
        <w:rPr>
          <w:rStyle w:val="EndnoteReference"/>
        </w:rPr>
        <w:endnoteReference w:id="12"/>
      </w:r>
      <w:bookmarkEnd w:id="38"/>
      <w:r w:rsidR="003B2337" w:rsidRPr="008A1DA4">
        <w:rPr>
          <w:rStyle w:val="EndnoteReference"/>
        </w:rPr>
        <w:fldChar w:fldCharType="begin"/>
      </w:r>
      <w:r w:rsidR="003B2337" w:rsidRPr="008A1DA4">
        <w:instrText xml:space="preserve"> NOTEREF _Ref214872911 \f \h </w:instrText>
      </w:r>
      <w:r w:rsidR="000B0167" w:rsidRPr="008A1DA4">
        <w:rPr>
          <w:rStyle w:val="EndnoteReference"/>
        </w:rPr>
        <w:instrText xml:space="preserve"> \* MERGEFORMAT </w:instrText>
      </w:r>
      <w:r w:rsidR="003B2337" w:rsidRPr="008A1DA4">
        <w:rPr>
          <w:rStyle w:val="EndnoteReference"/>
        </w:rPr>
      </w:r>
      <w:r w:rsidR="003B2337" w:rsidRPr="008A1DA4">
        <w:rPr>
          <w:rStyle w:val="EndnoteReference"/>
        </w:rPr>
        <w:fldChar w:fldCharType="separate"/>
      </w:r>
      <w:r w:rsidR="00EA1EA1" w:rsidRPr="00EA1EA1">
        <w:rPr>
          <w:rStyle w:val="EndnoteReference"/>
        </w:rPr>
        <w:t>4</w:t>
      </w:r>
      <w:r w:rsidR="003B2337" w:rsidRPr="008A1DA4">
        <w:rPr>
          <w:rStyle w:val="EndnoteReference"/>
        </w:rPr>
        <w:fldChar w:fldCharType="end"/>
      </w:r>
      <w:r w:rsidRPr="008A1DA4">
        <w:t xml:space="preserve"> </w:t>
      </w:r>
      <w:r w:rsidR="00E20157" w:rsidRPr="008A1DA4">
        <w:lastRenderedPageBreak/>
        <w:t>Phase II of t</w:t>
      </w:r>
      <w:r w:rsidRPr="008A1DA4">
        <w:t xml:space="preserve">he study compared performance between </w:t>
      </w:r>
      <w:r w:rsidR="00E20157" w:rsidRPr="008A1DA4">
        <w:t xml:space="preserve">nominal </w:t>
      </w:r>
      <w:r w:rsidRPr="008A1DA4">
        <w:t xml:space="preserve">100 </w:t>
      </w:r>
      <w:r w:rsidR="00E20157" w:rsidRPr="008A1DA4">
        <w:t>watt</w:t>
      </w:r>
      <w:r w:rsidRPr="008A1DA4">
        <w:t xml:space="preserve"> high pressure sodium (HPS) and 78 </w:t>
      </w:r>
      <w:r w:rsidR="00E20157" w:rsidRPr="008A1DA4">
        <w:t>watt</w:t>
      </w:r>
      <w:r w:rsidRPr="008A1DA4">
        <w:t xml:space="preserve"> LED street lighting. Actual wattage of the HPS luminaires was measured at 121 </w:t>
      </w:r>
      <w:r w:rsidR="00E20157" w:rsidRPr="008A1DA4">
        <w:t>watt</w:t>
      </w:r>
      <w:r w:rsidRPr="008A1DA4">
        <w:t>s, documenting a reduction 36% in power demand</w:t>
      </w:r>
      <w:r w:rsidR="00512282">
        <w:t xml:space="preserve">. </w:t>
      </w:r>
      <w:r w:rsidR="00E20157" w:rsidRPr="008A1DA4">
        <w:t>Phase III returned to the original scenario with more recent offerings from the same LED manufacturer and demonstrated increased power savings while maintaining light levels; this study replaced the same</w:t>
      </w:r>
      <w:r w:rsidR="006825F1" w:rsidRPr="008A1DA4">
        <w:t xml:space="preserve"> </w:t>
      </w:r>
      <w:r w:rsidR="00E20157" w:rsidRPr="008A1DA4">
        <w:t>nominal 100 HPS lamps with improved 58 watt LED luminaires.</w:t>
      </w:r>
    </w:p>
    <w:p w:rsidR="000B0167" w:rsidRPr="008A1DA4" w:rsidRDefault="000B0167" w:rsidP="007100F8"/>
    <w:p w:rsidR="000B0167" w:rsidRPr="008A1DA4" w:rsidRDefault="00A47FE3" w:rsidP="00EC1CF6">
      <w:pPr>
        <w:keepLines/>
      </w:pPr>
      <w:r w:rsidRPr="008A1DA4">
        <w:t xml:space="preserve">Using </w:t>
      </w:r>
      <w:proofErr w:type="spellStart"/>
      <w:r w:rsidRPr="008A1DA4">
        <w:t>photopic</w:t>
      </w:r>
      <w:proofErr w:type="spellEnd"/>
      <w:r w:rsidRPr="008A1DA4">
        <w:t xml:space="preserve"> measurements, which are conservative for a transition to high CRI, blue-spectrum sources, the minimum illuminance level was maintained at typical 110 or 120 foot spacing</w:t>
      </w:r>
      <w:r w:rsidR="001600DB">
        <w:t xml:space="preserve">. </w:t>
      </w:r>
      <w:r w:rsidRPr="008A1DA4">
        <w:t>While the average and maximum illuminance levels were higher with HPS lighting, it is reasonable to assume that minimum illuminance is the critical point of comparison for roadway and other outdoor applications. Furthermore, Average to Minimum Uniformity and Maximum to Minimum Uniformity ratios were less pronounced with the solid-state lighting as compared to the base case, demonstrating improved uniformity in distribution</w:t>
      </w:r>
      <w:r w:rsidR="001600DB">
        <w:t xml:space="preserve">. </w:t>
      </w:r>
      <w:r w:rsidRPr="008A1DA4">
        <w:t>The study also documented comparable or improved lumen maintenance over the LED system life and end user surveys, which convey</w:t>
      </w:r>
      <w:r w:rsidR="001600DB">
        <w:t>ed a</w:t>
      </w:r>
      <w:r w:rsidRPr="008A1DA4">
        <w:t xml:space="preserve"> preference for the replacement system</w:t>
      </w:r>
      <w:r w:rsidR="001600DB">
        <w:t>.</w:t>
      </w:r>
    </w:p>
    <w:p w:rsidR="000B0167" w:rsidRPr="008A1DA4" w:rsidRDefault="000B0167" w:rsidP="007100F8"/>
    <w:p w:rsidR="000B0167" w:rsidRPr="008A1DA4" w:rsidRDefault="00A47FE3" w:rsidP="007100F8">
      <w:r w:rsidRPr="008A1DA4">
        <w:t xml:space="preserve">This work paper, while considering initial lumen output in replacement strategies, also accounts for this increased uniformity in light distribution. An acceptable drop in initial lumen output is an inherent assumption for the retrofits anticipated herein; this study uses the Emerging Technology report as a basis for the achievable reduction in demand while maintaining minimum illuminance levels. It should be noted that a discussion of </w:t>
      </w:r>
      <w:proofErr w:type="spellStart"/>
      <w:r w:rsidRPr="008A1DA4">
        <w:t>photopic</w:t>
      </w:r>
      <w:proofErr w:type="spellEnd"/>
      <w:r w:rsidRPr="008A1DA4">
        <w:t xml:space="preserve">, scotopic, and </w:t>
      </w:r>
      <w:proofErr w:type="spellStart"/>
      <w:r w:rsidRPr="008A1DA4">
        <w:t>mesopic</w:t>
      </w:r>
      <w:proofErr w:type="spellEnd"/>
      <w:r w:rsidRPr="008A1DA4">
        <w:t xml:space="preserve"> illuminance remains strictly outside of the bounds of this work paper, although this topic is gaining importance in the application of solid-state lighting to outdoor end use.</w:t>
      </w:r>
    </w:p>
    <w:p w:rsidR="000B0167" w:rsidRPr="008A1DA4" w:rsidRDefault="000B0167" w:rsidP="007100F8">
      <w:pPr>
        <w:rPr>
          <w:i/>
        </w:rPr>
      </w:pPr>
    </w:p>
    <w:p w:rsidR="00714B3D" w:rsidRDefault="00714B3D" w:rsidP="00E36701">
      <w:r w:rsidRPr="0077127E">
        <w:t>In 2009 the market penetration of LED</w:t>
      </w:r>
      <w:r w:rsidR="004E0A5C" w:rsidRPr="0077127E">
        <w:t xml:space="preserve"> light sources was 0.01% of roadway lighting, 4.30% of parking lighting, 0.70% of area and flood lighting, and 0.00% of residential outdoor lighting.</w:t>
      </w:r>
      <w:r w:rsidR="004E0A5C" w:rsidRPr="0077127E">
        <w:rPr>
          <w:rStyle w:val="EndnoteReference"/>
        </w:rPr>
        <w:endnoteReference w:id="13"/>
      </w:r>
      <w:r w:rsidR="004E0A5C" w:rsidRPr="0077127E">
        <w:t xml:space="preserve"> </w:t>
      </w:r>
      <w:r w:rsidR="00E36701" w:rsidRPr="0077127E">
        <w:t>Since there is an</w:t>
      </w:r>
      <w:r w:rsidRPr="0077127E">
        <w:t xml:space="preserve"> economic incentive to reduce the frequency of maintenance and replacement</w:t>
      </w:r>
      <w:r w:rsidR="00E36701" w:rsidRPr="0077127E">
        <w:t xml:space="preserve"> of outdoor lighting,</w:t>
      </w:r>
      <w:r w:rsidRPr="0077127E">
        <w:t xml:space="preserve"> LED light sources have “further market potential as their long life continues to increase, bringing down annual costs to approximately half of HPS annual costs by 2030.”</w:t>
      </w:r>
      <w:r w:rsidRPr="0077127E">
        <w:rPr>
          <w:rStyle w:val="EndnoteReference"/>
        </w:rPr>
        <w:endnoteReference w:id="14"/>
      </w:r>
    </w:p>
    <w:p w:rsidR="00714B3D" w:rsidRPr="00714B3D" w:rsidRDefault="00714B3D" w:rsidP="00714B3D"/>
    <w:p w:rsidR="000B0167" w:rsidRPr="008A1DA4" w:rsidRDefault="00A47FE3" w:rsidP="007100F8">
      <w:r w:rsidRPr="008A1DA4">
        <w:rPr>
          <w:b/>
        </w:rPr>
        <w:t xml:space="preserve">Delta </w:t>
      </w:r>
      <w:r w:rsidR="00E20157" w:rsidRPr="008A1DA4">
        <w:rPr>
          <w:b/>
        </w:rPr>
        <w:t>watt</w:t>
      </w:r>
      <w:r w:rsidRPr="008A1DA4">
        <w:rPr>
          <w:b/>
        </w:rPr>
        <w:t>age Assumption (ΔW):</w:t>
      </w:r>
      <w:r w:rsidR="006825F1" w:rsidRPr="008A1DA4">
        <w:t xml:space="preserve"> </w:t>
      </w:r>
      <w:r w:rsidRPr="008A1DA4">
        <w:t xml:space="preserve">This measure is based on the replacement of HID lighting sources with LED luminaires. In order to account for the breadth of application, this work paper draws on a combination of current specifications for LED technology, the existing </w:t>
      </w:r>
      <w:r w:rsidR="00952E20">
        <w:t>PG&amp;E</w:t>
      </w:r>
      <w:r w:rsidRPr="008A1DA4">
        <w:t xml:space="preserve"> </w:t>
      </w:r>
      <w:r w:rsidRPr="008A1DA4">
        <w:rPr>
          <w:i/>
        </w:rPr>
        <w:t>Electric Schedule LS-2: Customer-Owned Street and Highway</w:t>
      </w:r>
      <w:r w:rsidR="00930C2C">
        <w:rPr>
          <w:i/>
        </w:rPr>
        <w:t>,</w:t>
      </w:r>
      <w:bookmarkStart w:id="39" w:name="_Ref327764574"/>
      <w:r w:rsidR="00930C2C" w:rsidRPr="008A1DA4">
        <w:rPr>
          <w:rStyle w:val="EndnoteReference"/>
        </w:rPr>
        <w:endnoteReference w:id="15"/>
      </w:r>
      <w:bookmarkEnd w:id="39"/>
      <w:r w:rsidR="000617F1">
        <w:t xml:space="preserve"> </w:t>
      </w:r>
      <w:r w:rsidRPr="008A1DA4">
        <w:t xml:space="preserve">results from the </w:t>
      </w:r>
      <w:r w:rsidR="0011669B" w:rsidRPr="008A1DA4">
        <w:rPr>
          <w:i/>
        </w:rPr>
        <w:t>LED Street Lighting: Oakland, CA</w:t>
      </w:r>
      <w:r w:rsidR="0011669B" w:rsidRPr="008A1DA4">
        <w:t xml:space="preserve"> </w:t>
      </w:r>
      <w:r w:rsidR="00894563">
        <w:t>report</w:t>
      </w:r>
      <w:r w:rsidRPr="008A1DA4">
        <w:t>,</w:t>
      </w:r>
      <w:r w:rsidR="00894563" w:rsidRPr="00894563">
        <w:rPr>
          <w:vertAlign w:val="superscript"/>
        </w:rPr>
        <w:fldChar w:fldCharType="begin"/>
      </w:r>
      <w:r w:rsidR="00894563" w:rsidRPr="00894563">
        <w:rPr>
          <w:vertAlign w:val="superscript"/>
        </w:rPr>
        <w:instrText xml:space="preserve"> NOTEREF _Ref327861961 \h </w:instrText>
      </w:r>
      <w:r w:rsidR="00894563">
        <w:rPr>
          <w:vertAlign w:val="superscript"/>
        </w:rPr>
        <w:instrText xml:space="preserve"> \* MERGEFORMAT </w:instrText>
      </w:r>
      <w:r w:rsidR="00894563" w:rsidRPr="00894563">
        <w:rPr>
          <w:vertAlign w:val="superscript"/>
        </w:rPr>
      </w:r>
      <w:r w:rsidR="00894563" w:rsidRPr="00894563">
        <w:rPr>
          <w:vertAlign w:val="superscript"/>
        </w:rPr>
        <w:fldChar w:fldCharType="separate"/>
      </w:r>
      <w:r w:rsidR="00EA1EA1">
        <w:rPr>
          <w:vertAlign w:val="superscript"/>
        </w:rPr>
        <w:t>11</w:t>
      </w:r>
      <w:r w:rsidR="00894563" w:rsidRPr="00894563">
        <w:rPr>
          <w:vertAlign w:val="superscript"/>
        </w:rPr>
        <w:fldChar w:fldCharType="end"/>
      </w:r>
      <w:r w:rsidRPr="008A1DA4">
        <w:t xml:space="preserve"> and </w:t>
      </w:r>
      <w:proofErr w:type="spellStart"/>
      <w:r w:rsidRPr="008A1DA4">
        <w:t>CALiPER</w:t>
      </w:r>
      <w:proofErr w:type="spellEnd"/>
      <w:r w:rsidRPr="008A1DA4">
        <w:t xml:space="preserve"> </w:t>
      </w:r>
      <w:r w:rsidR="00894563">
        <w:t>reports.</w:t>
      </w:r>
      <w:r w:rsidR="00894563" w:rsidRPr="00894563">
        <w:rPr>
          <w:vertAlign w:val="superscript"/>
        </w:rPr>
        <w:fldChar w:fldCharType="begin"/>
      </w:r>
      <w:r w:rsidR="00894563" w:rsidRPr="00894563">
        <w:rPr>
          <w:vertAlign w:val="superscript"/>
        </w:rPr>
        <w:instrText xml:space="preserve"> NOTEREF _Ref327861787 \h </w:instrText>
      </w:r>
      <w:r w:rsidR="00894563">
        <w:rPr>
          <w:vertAlign w:val="superscript"/>
        </w:rPr>
        <w:instrText xml:space="preserve"> \* MERGEFORMAT </w:instrText>
      </w:r>
      <w:r w:rsidR="00894563" w:rsidRPr="00894563">
        <w:rPr>
          <w:vertAlign w:val="superscript"/>
        </w:rPr>
      </w:r>
      <w:r w:rsidR="00894563" w:rsidRPr="00894563">
        <w:rPr>
          <w:vertAlign w:val="superscript"/>
        </w:rPr>
        <w:fldChar w:fldCharType="separate"/>
      </w:r>
      <w:r w:rsidR="00EA1EA1">
        <w:rPr>
          <w:vertAlign w:val="superscript"/>
        </w:rPr>
        <w:t>10</w:t>
      </w:r>
      <w:r w:rsidR="00894563" w:rsidRPr="00894563">
        <w:rPr>
          <w:vertAlign w:val="superscript"/>
        </w:rPr>
        <w:fldChar w:fldCharType="end"/>
      </w:r>
    </w:p>
    <w:p w:rsidR="000B0167" w:rsidRPr="008A1DA4" w:rsidRDefault="000B0167" w:rsidP="007100F8"/>
    <w:p w:rsidR="00202F85" w:rsidRPr="008A1DA4" w:rsidRDefault="00202F85" w:rsidP="00202F85">
      <w:r>
        <w:t xml:space="preserve">The </w:t>
      </w:r>
      <w:r w:rsidRPr="008A1DA4">
        <w:t>data from t</w:t>
      </w:r>
      <w:r w:rsidRPr="00A279B4">
        <w:t>he</w:t>
      </w:r>
      <w:r w:rsidR="00A279B4" w:rsidRPr="00A279B4">
        <w:t xml:space="preserve"> Oakland </w:t>
      </w:r>
      <w:r w:rsidRPr="00A279B4">
        <w:t>E</w:t>
      </w:r>
      <w:r w:rsidRPr="008A1DA4">
        <w:t>T report</w:t>
      </w:r>
      <w:r>
        <w:t xml:space="preserve"> was </w:t>
      </w:r>
      <w:r w:rsidRPr="008A1DA4">
        <w:t xml:space="preserve">compared </w:t>
      </w:r>
      <w:r>
        <w:t xml:space="preserve">to further data from the </w:t>
      </w:r>
      <w:r w:rsidRPr="008A1DA4">
        <w:t>manufacturer whose products were installed in the study</w:t>
      </w:r>
      <w:r w:rsidR="00A279B4">
        <w:t xml:space="preserve"> (whose products are</w:t>
      </w:r>
      <w:r w:rsidR="00A279B4" w:rsidRPr="008A1DA4">
        <w:t xml:space="preserve"> independently tested following IESNA LM-79 photometric testing protocols</w:t>
      </w:r>
      <w:r w:rsidR="00A279B4">
        <w:t xml:space="preserve">) </w:t>
      </w:r>
      <w:r>
        <w:t xml:space="preserve">and </w:t>
      </w:r>
      <w:r w:rsidR="00EA04DB">
        <w:t xml:space="preserve">compared to </w:t>
      </w:r>
      <w:r w:rsidRPr="008A1DA4">
        <w:t>data from the CALiPER testing program (also based on LM-79 testing for complete luminaires at 25°C ambient temperatures).</w:t>
      </w:r>
      <w:r w:rsidRPr="008A1DA4">
        <w:rPr>
          <w:rStyle w:val="EndnoteReference"/>
        </w:rPr>
        <w:endnoteReference w:id="16"/>
      </w:r>
      <w:r w:rsidRPr="008A1DA4">
        <w:t xml:space="preserve"> Figure 1 shows the resulting trends, which reveal coherence between the sets of data.</w:t>
      </w:r>
    </w:p>
    <w:p w:rsidR="00202F85" w:rsidRPr="008A1DA4" w:rsidRDefault="00202F85" w:rsidP="006D6D78"/>
    <w:p w:rsidR="000B0167" w:rsidRPr="008A1DA4" w:rsidRDefault="00A47FE3" w:rsidP="00EA04DB">
      <w:pPr>
        <w:pStyle w:val="Caption"/>
        <w:keepNext/>
        <w:jc w:val="center"/>
      </w:pPr>
      <w:bookmarkStart w:id="40" w:name="_Toc438469079"/>
      <w:r w:rsidRPr="008A1DA4">
        <w:lastRenderedPageBreak/>
        <w:t xml:space="preserve">Figure </w:t>
      </w:r>
      <w:r w:rsidR="00C65AE2">
        <w:fldChar w:fldCharType="begin"/>
      </w:r>
      <w:r w:rsidR="00C65AE2">
        <w:instrText xml:space="preserve"> SEQ Figure \* ARABIC </w:instrText>
      </w:r>
      <w:r w:rsidR="00C65AE2">
        <w:fldChar w:fldCharType="separate"/>
      </w:r>
      <w:r w:rsidR="00EA1EA1">
        <w:rPr>
          <w:noProof/>
        </w:rPr>
        <w:t>1</w:t>
      </w:r>
      <w:r w:rsidR="00C65AE2">
        <w:rPr>
          <w:noProof/>
        </w:rPr>
        <w:fldChar w:fldCharType="end"/>
      </w:r>
      <w:r w:rsidRPr="008A1DA4">
        <w:t xml:space="preserve"> </w:t>
      </w:r>
      <w:r w:rsidR="00EA2012" w:rsidRPr="008A1DA4">
        <w:t xml:space="preserve">Initial Lumen Output vs. Power: </w:t>
      </w:r>
      <w:r w:rsidRPr="008A1DA4">
        <w:t>Manufacturer Specification</w:t>
      </w:r>
      <w:r w:rsidR="00EA2012" w:rsidRPr="008A1DA4">
        <w:t>s</w:t>
      </w:r>
      <w:r w:rsidRPr="008A1DA4">
        <w:t xml:space="preserve"> and CALiPER</w:t>
      </w:r>
      <w:bookmarkEnd w:id="40"/>
    </w:p>
    <w:p w:rsidR="000B0167" w:rsidRPr="008A1DA4" w:rsidRDefault="009959FF" w:rsidP="007100F8">
      <w:r>
        <w:rPr>
          <w:noProof/>
        </w:rPr>
        <w:drawing>
          <wp:inline distT="0" distB="0" distL="0" distR="0">
            <wp:extent cx="5934075" cy="43148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4075" cy="4314825"/>
                    </a:xfrm>
                    <a:prstGeom prst="rect">
                      <a:avLst/>
                    </a:prstGeom>
                    <a:noFill/>
                    <a:ln>
                      <a:noFill/>
                    </a:ln>
                  </pic:spPr>
                </pic:pic>
              </a:graphicData>
            </a:graphic>
          </wp:inline>
        </w:drawing>
      </w:r>
    </w:p>
    <w:p w:rsidR="000B0167" w:rsidRPr="008A1DA4" w:rsidRDefault="000B0167" w:rsidP="007100F8"/>
    <w:p w:rsidR="002E217D" w:rsidRDefault="0031343C" w:rsidP="007100F8">
      <w:r w:rsidRPr="008A1DA4">
        <w:t>Replacement strategies were based upon a comparative reduction in power and lumen output as demonstrated in both rounds of the Oakland ET study. Phases II and III of the study show that a reduction in power draw of between 36</w:t>
      </w:r>
      <w:r w:rsidR="00EA04DB">
        <w:t xml:space="preserve">% </w:t>
      </w:r>
      <w:r w:rsidRPr="008A1DA4">
        <w:t>and 52</w:t>
      </w:r>
      <w:r w:rsidR="00EA04DB">
        <w:t>%</w:t>
      </w:r>
      <w:r w:rsidRPr="008A1DA4">
        <w:t xml:space="preserve"> between baseline and LED luminaires resulted in an acceptable reduction in lumen output, both in terms of minimum illuminance levels and overall customer acceptance. Furthermore, reduction in initial lumen output was modeled in each scenario, based on initial lumen output figures for LED luminaires, reduced by 20</w:t>
      </w:r>
      <w:r w:rsidR="00EA04DB">
        <w:t>%</w:t>
      </w:r>
      <w:r w:rsidRPr="008A1DA4">
        <w:t xml:space="preserve"> to reflect mean lumen output based on DOE research into lumen maintenance with LEDs, and mean lumen output figures from manufacturer lamp specifications comparable to the baseline (taken for street lighting at the horizontal burn). Baseline lamp lumen output was adjusted in the modeled scenarios by applying a luminaire efficiency coefficient from photometric files from the fixture used in the Oakland ET study</w:t>
      </w:r>
      <w:r w:rsidR="00170992" w:rsidRPr="008A1DA4">
        <w:t xml:space="preserve">. For the simulated replacement of other baseline figures, photometric files from standard cobra head and area light fixtures were used to generate luminaire efficiency coefficients. Lastly, the reduction in </w:t>
      </w:r>
      <w:r w:rsidR="00332B96" w:rsidRPr="008A1DA4">
        <w:t xml:space="preserve">input wattage </w:t>
      </w:r>
      <w:r w:rsidR="00170992" w:rsidRPr="008A1DA4">
        <w:t xml:space="preserve">(calculated as </w:t>
      </w:r>
      <w:r w:rsidR="00332B96" w:rsidRPr="008A1DA4">
        <w:t>36</w:t>
      </w:r>
      <w:r w:rsidR="00EA04DB">
        <w:t>%</w:t>
      </w:r>
      <w:r w:rsidR="00170992" w:rsidRPr="008A1DA4">
        <w:t xml:space="preserve"> and 5</w:t>
      </w:r>
      <w:r w:rsidR="00332B96" w:rsidRPr="008A1DA4">
        <w:t>2</w:t>
      </w:r>
      <w:r w:rsidR="00EA04DB">
        <w:t>%</w:t>
      </w:r>
      <w:r w:rsidR="00170992" w:rsidRPr="008A1DA4">
        <w:t xml:space="preserve"> for Phase II and III, respectively) was modified for each wattage category to reflect the increasing efficacy of HID lamps at higher wattages</w:t>
      </w:r>
      <w:r w:rsidR="002E217D">
        <w:t xml:space="preserve">. </w:t>
      </w:r>
      <w:r w:rsidR="002E217D" w:rsidRPr="002E217D">
        <w:t>Detailed information on all assumptions is included in the accompanying calculations for this work paper.</w:t>
      </w:r>
    </w:p>
    <w:p w:rsidR="00202F85" w:rsidRDefault="00202F85" w:rsidP="00202F85"/>
    <w:p w:rsidR="00202F85" w:rsidRPr="008A1DA4" w:rsidRDefault="00202F85" w:rsidP="00EC1CF6">
      <w:pPr>
        <w:keepLines/>
      </w:pPr>
      <w:r w:rsidRPr="00202F85">
        <w:lastRenderedPageBreak/>
        <w:t>Since the conclusion of the Oakland ET study, LED technology has improved in such a way that solid-state lighting retrofits can now offer similar power reductions, approximately 40</w:t>
      </w:r>
      <w:r w:rsidR="00EA04DB">
        <w:t>%</w:t>
      </w:r>
      <w:r w:rsidRPr="00202F85">
        <w:t xml:space="preserve">, with only a minor reduction in lumen output. </w:t>
      </w:r>
      <w:r>
        <w:t>In</w:t>
      </w:r>
      <w:r w:rsidRPr="00202F85">
        <w:t xml:space="preserve"> CALiPER Round 11</w:t>
      </w:r>
      <w:r>
        <w:t>,</w:t>
      </w:r>
      <w:r w:rsidRPr="00202F85">
        <w:t xml:space="preserve"> “five of the luminaires have fairly similar light output levels from 4000–5000 lumens.”</w:t>
      </w:r>
      <w:r w:rsidRPr="00202F85">
        <w:rPr>
          <w:vertAlign w:val="superscript"/>
        </w:rPr>
        <w:fldChar w:fldCharType="begin"/>
      </w:r>
      <w:r w:rsidRPr="00202F85">
        <w:rPr>
          <w:vertAlign w:val="superscript"/>
        </w:rPr>
        <w:instrText xml:space="preserve"> NOTEREF _Ref327861787 \h </w:instrText>
      </w:r>
      <w:r>
        <w:rPr>
          <w:vertAlign w:val="superscript"/>
        </w:rPr>
        <w:instrText xml:space="preserve"> \* MERGEFORMAT </w:instrText>
      </w:r>
      <w:r w:rsidRPr="00202F85">
        <w:rPr>
          <w:vertAlign w:val="superscript"/>
        </w:rPr>
      </w:r>
      <w:r w:rsidRPr="00202F85">
        <w:rPr>
          <w:vertAlign w:val="superscript"/>
        </w:rPr>
        <w:fldChar w:fldCharType="separate"/>
      </w:r>
      <w:r w:rsidR="00EA1EA1">
        <w:rPr>
          <w:vertAlign w:val="superscript"/>
        </w:rPr>
        <w:t>10</w:t>
      </w:r>
      <w:r w:rsidRPr="00202F85">
        <w:rPr>
          <w:vertAlign w:val="superscript"/>
        </w:rPr>
        <w:fldChar w:fldCharType="end"/>
      </w:r>
      <w:r>
        <w:t xml:space="preserve"> Tho</w:t>
      </w:r>
      <w:r w:rsidRPr="00202F85">
        <w:t>se outdoor roadway luminaires had an average power draw of approximately 70 W and were benchmarked against a 100 W HPS fixture and two induction roadway fixtures. Of the benchmark fixtures</w:t>
      </w:r>
      <w:r>
        <w:t>,</w:t>
      </w:r>
      <w:r w:rsidRPr="00202F85">
        <w:t xml:space="preserve"> the HPS drew 117 W and the two induction fixtures drew 67 W and 71 W. The benchmark fixture outputs ranged from 3,500 to 6,500 for the HPS fixture.</w:t>
      </w:r>
      <w:r>
        <w:t xml:space="preserve"> Based on the</w:t>
      </w:r>
      <w:r w:rsidRPr="00202F85">
        <w:t xml:space="preserve"> results</w:t>
      </w:r>
      <w:r>
        <w:t xml:space="preserve"> of </w:t>
      </w:r>
      <w:r w:rsidRPr="00202F85">
        <w:t>CALiPER Round 11, an LED luminaire can produce comparable lumen output with a considerable 40% reduction in power.</w:t>
      </w:r>
      <w:r>
        <w:t xml:space="preserve"> </w:t>
      </w:r>
      <w:r w:rsidRPr="00202F85">
        <w:t>The wattage ranges in this paper are based o</w:t>
      </w:r>
      <w:r>
        <w:t>n</w:t>
      </w:r>
      <w:r w:rsidRPr="00202F85">
        <w:t xml:space="preserve"> an approximate 40% reduction in power.</w:t>
      </w:r>
    </w:p>
    <w:p w:rsidR="00884FE6" w:rsidRPr="00B3619E" w:rsidRDefault="00884FE6" w:rsidP="00884FE6">
      <w:pPr>
        <w:pStyle w:val="Heading2"/>
        <w:keepNext w:val="0"/>
      </w:pPr>
      <w:bookmarkStart w:id="41" w:name="_Toc304800208"/>
      <w:bookmarkStart w:id="42" w:name="_Toc324318344"/>
      <w:bookmarkStart w:id="43" w:name="_Toc324340488"/>
      <w:bookmarkStart w:id="44" w:name="_Toc389040967"/>
      <w:bookmarkStart w:id="45" w:name="_Toc438469094"/>
      <w:r>
        <w:t>1.4.4 Assumptions and Calculations from other sources—Base and Measure Cases</w:t>
      </w:r>
      <w:bookmarkEnd w:id="41"/>
      <w:bookmarkEnd w:id="42"/>
      <w:bookmarkEnd w:id="43"/>
      <w:bookmarkEnd w:id="44"/>
      <w:bookmarkEnd w:id="45"/>
    </w:p>
    <w:p w:rsidR="00FD3162" w:rsidRDefault="000D098D" w:rsidP="00FD3162">
      <w:r>
        <w:t>This work paper follows DEER 2016 updates as well as the DEER 1314 Lighting Dispositions.</w:t>
      </w:r>
    </w:p>
    <w:p w:rsidR="00FD3162" w:rsidRDefault="00FD3162" w:rsidP="00FD3162">
      <w:pPr>
        <w:rPr>
          <w:b/>
        </w:rPr>
      </w:pPr>
    </w:p>
    <w:p w:rsidR="00FD3162" w:rsidRPr="008A1DA4" w:rsidRDefault="00FD3162" w:rsidP="00FD3162"/>
    <w:p w:rsidR="00E9341E" w:rsidRPr="00E9341E" w:rsidRDefault="00E9341E" w:rsidP="00FD3162"/>
    <w:p w:rsidR="00A05240" w:rsidRDefault="00A05240">
      <w:pPr>
        <w:rPr>
          <w:rFonts w:ascii="Arial" w:hAnsi="Arial" w:cs="Arial"/>
          <w:b/>
          <w:bCs/>
          <w:kern w:val="32"/>
          <w:sz w:val="32"/>
          <w:szCs w:val="32"/>
        </w:rPr>
      </w:pPr>
      <w:r>
        <w:br w:type="page"/>
      </w:r>
    </w:p>
    <w:p w:rsidR="000B0167" w:rsidRDefault="00A47FE3" w:rsidP="00104058">
      <w:pPr>
        <w:pStyle w:val="Heading1"/>
        <w:tabs>
          <w:tab w:val="left" w:pos="5215"/>
        </w:tabs>
      </w:pPr>
      <w:bookmarkStart w:id="46" w:name="_Toc438469095"/>
      <w:proofErr w:type="gramStart"/>
      <w:r w:rsidRPr="008A1DA4">
        <w:lastRenderedPageBreak/>
        <w:t>Section 2.</w:t>
      </w:r>
      <w:proofErr w:type="gramEnd"/>
      <w:r w:rsidRPr="008A1DA4">
        <w:t xml:space="preserve"> Calculation Methods</w:t>
      </w:r>
      <w:bookmarkEnd w:id="46"/>
    </w:p>
    <w:p w:rsidR="000B0167" w:rsidRPr="008A1DA4" w:rsidRDefault="00A47FE3">
      <w:pPr>
        <w:pStyle w:val="Heading2"/>
      </w:pPr>
      <w:bookmarkStart w:id="47" w:name="_Toc438469096"/>
      <w:r w:rsidRPr="008A1DA4">
        <w:t>2.1 Electric Energy Savings Estimation Methodologies</w:t>
      </w:r>
      <w:bookmarkEnd w:id="47"/>
    </w:p>
    <w:p w:rsidR="000B0167" w:rsidRPr="008A1DA4" w:rsidRDefault="00A47FE3" w:rsidP="007100F8">
      <w:r w:rsidRPr="008A1DA4">
        <w:t>The lighting demand difference (</w:t>
      </w:r>
      <w:r w:rsidR="00E20157" w:rsidRPr="008A1DA4">
        <w:t>watt</w:t>
      </w:r>
      <w:r w:rsidRPr="008A1DA4">
        <w:t xml:space="preserve">s per unit) is simply the difference between the electric demand of the base unit and the electric demand of the energy efficient unit. </w:t>
      </w:r>
    </w:p>
    <w:p w:rsidR="000B0167" w:rsidRPr="008A1DA4" w:rsidRDefault="000B0167" w:rsidP="007100F8">
      <w:pPr>
        <w:rPr>
          <w:i/>
        </w:rPr>
      </w:pPr>
    </w:p>
    <w:p w:rsidR="000B0167" w:rsidRPr="008A1DA4" w:rsidRDefault="00A47FE3" w:rsidP="00104058">
      <w:pPr>
        <w:ind w:left="720"/>
        <w:rPr>
          <w:i/>
          <w:sz w:val="20"/>
          <w:szCs w:val="20"/>
        </w:rPr>
      </w:pPr>
      <w:r w:rsidRPr="008A1DA4">
        <w:rPr>
          <w:i/>
          <w:sz w:val="20"/>
          <w:szCs w:val="20"/>
          <w:u w:val="single"/>
        </w:rPr>
        <w:t>∆</w:t>
      </w:r>
      <w:r w:rsidR="00E20157" w:rsidRPr="008A1DA4">
        <w:rPr>
          <w:i/>
          <w:sz w:val="20"/>
          <w:szCs w:val="20"/>
          <w:u w:val="single"/>
        </w:rPr>
        <w:t>watt</w:t>
      </w:r>
      <w:r w:rsidRPr="008A1DA4">
        <w:rPr>
          <w:i/>
          <w:sz w:val="20"/>
          <w:szCs w:val="20"/>
          <w:u w:val="single"/>
        </w:rPr>
        <w:t>s/unit</w:t>
      </w:r>
      <w:r w:rsidRPr="008A1DA4">
        <w:rPr>
          <w:i/>
          <w:sz w:val="20"/>
          <w:szCs w:val="20"/>
        </w:rPr>
        <w:tab/>
        <w:t xml:space="preserve">= Base </w:t>
      </w:r>
      <w:r w:rsidR="00E20157" w:rsidRPr="008A1DA4">
        <w:rPr>
          <w:i/>
          <w:sz w:val="20"/>
          <w:szCs w:val="20"/>
        </w:rPr>
        <w:t>watt</w:t>
      </w:r>
      <w:r w:rsidRPr="008A1DA4">
        <w:rPr>
          <w:i/>
          <w:sz w:val="20"/>
          <w:szCs w:val="20"/>
        </w:rPr>
        <w:t>s/unit</w:t>
      </w:r>
      <w:r w:rsidR="004A4BE5" w:rsidRPr="008A1DA4">
        <w:rPr>
          <w:i/>
          <w:sz w:val="20"/>
          <w:szCs w:val="20"/>
        </w:rPr>
        <w:t xml:space="preserve"> – Energy Efficient u</w:t>
      </w:r>
      <w:r w:rsidRPr="008A1DA4">
        <w:rPr>
          <w:i/>
          <w:sz w:val="20"/>
          <w:szCs w:val="20"/>
        </w:rPr>
        <w:t xml:space="preserve">nit </w:t>
      </w:r>
      <w:r w:rsidR="00E20157" w:rsidRPr="008A1DA4">
        <w:rPr>
          <w:i/>
          <w:sz w:val="20"/>
          <w:szCs w:val="20"/>
        </w:rPr>
        <w:t>watt</w:t>
      </w:r>
      <w:r w:rsidRPr="008A1DA4">
        <w:rPr>
          <w:i/>
          <w:sz w:val="20"/>
          <w:szCs w:val="20"/>
        </w:rPr>
        <w:t>s</w:t>
      </w:r>
    </w:p>
    <w:p w:rsidR="000B0167" w:rsidRPr="008A1DA4" w:rsidRDefault="000B0167" w:rsidP="007100F8"/>
    <w:p w:rsidR="000B0167" w:rsidRPr="008A1DA4" w:rsidRDefault="00A47FE3" w:rsidP="007100F8">
      <w:pPr>
        <w:rPr>
          <w:i/>
        </w:rPr>
      </w:pPr>
      <w:r w:rsidRPr="008A1DA4">
        <w:rPr>
          <w:i/>
        </w:rPr>
        <w:t>Annual Electric Savings:</w:t>
      </w:r>
    </w:p>
    <w:p w:rsidR="000B0167" w:rsidRPr="008A1DA4" w:rsidRDefault="000B0167" w:rsidP="007100F8">
      <w:pPr>
        <w:ind w:left="720"/>
        <w:rPr>
          <w:i/>
          <w:sz w:val="20"/>
          <w:szCs w:val="20"/>
        </w:rPr>
      </w:pPr>
    </w:p>
    <w:p w:rsidR="000B0167" w:rsidRPr="008A1DA4" w:rsidRDefault="00B96A6F" w:rsidP="007100F8">
      <w:pPr>
        <w:ind w:left="720"/>
        <w:rPr>
          <w:i/>
          <w:sz w:val="20"/>
          <w:szCs w:val="20"/>
        </w:rPr>
      </w:pPr>
      <w:r w:rsidRPr="00653AC4">
        <w:rPr>
          <w:position w:val="-32"/>
        </w:rPr>
        <w:object w:dxaOrig="58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25pt;height:38.25pt" o:ole="">
            <v:imagedata r:id="rId25" o:title=""/>
          </v:shape>
          <o:OLEObject Type="Embed" ProgID="Equation.3" ShapeID="_x0000_i1025" DrawAspect="Content" ObjectID="_1512303301" r:id="rId26"/>
        </w:object>
      </w:r>
    </w:p>
    <w:p w:rsidR="00B96A6F" w:rsidRDefault="00B96A6F" w:rsidP="00104058"/>
    <w:p w:rsidR="00104058" w:rsidRPr="008A1DA4" w:rsidRDefault="00104058" w:rsidP="00104058">
      <w:pPr>
        <w:rPr>
          <w:i/>
        </w:rPr>
      </w:pPr>
      <w:r w:rsidRPr="008A1DA4">
        <w:t>The following example calculates the annual electric</w:t>
      </w:r>
      <w:r w:rsidR="00A05240">
        <w:t xml:space="preserve"> energy</w:t>
      </w:r>
      <w:r w:rsidRPr="008A1DA4">
        <w:t xml:space="preserve"> kWh savings for the “</w:t>
      </w:r>
      <w:r w:rsidR="00B96A6F" w:rsidRPr="00B96A6F">
        <w:t>LED Street</w:t>
      </w:r>
      <w:r w:rsidR="00B96A6F">
        <w:t>/Outdoor Area</w:t>
      </w:r>
      <w:r w:rsidR="00B96A6F" w:rsidRPr="00B96A6F">
        <w:t xml:space="preserve"> Lighting - Install 0-50 W Fixture</w:t>
      </w:r>
      <w:r w:rsidRPr="008A1DA4">
        <w:t>” measure:</w:t>
      </w:r>
    </w:p>
    <w:p w:rsidR="00104058" w:rsidRPr="008A1DA4" w:rsidRDefault="00104058" w:rsidP="00104058"/>
    <w:p w:rsidR="00104058" w:rsidRPr="008A1DA4" w:rsidRDefault="0077127E" w:rsidP="00104058">
      <w:pPr>
        <w:jc w:val="center"/>
        <w:rPr>
          <w:position w:val="-30"/>
        </w:rPr>
      </w:pPr>
      <w:r w:rsidRPr="00814805">
        <w:rPr>
          <w:position w:val="-30"/>
        </w:rPr>
        <w:object w:dxaOrig="8100" w:dyaOrig="820">
          <v:shape id="_x0000_i1026" type="#_x0000_t75" style="width:405.75pt;height:39.75pt" o:ole="">
            <v:imagedata r:id="rId27" o:title=""/>
          </v:shape>
          <o:OLEObject Type="Embed" ProgID="Equation.3" ShapeID="_x0000_i1026" DrawAspect="Content" ObjectID="_1512303302" r:id="rId28"/>
        </w:object>
      </w:r>
    </w:p>
    <w:p w:rsidR="00F758D5" w:rsidRPr="008A1DA4" w:rsidRDefault="00F758D5" w:rsidP="00F758D5">
      <w:pPr>
        <w:rPr>
          <w:position w:val="-30"/>
        </w:rPr>
      </w:pPr>
    </w:p>
    <w:p w:rsidR="00F758D5" w:rsidRPr="008A1DA4" w:rsidRDefault="00F4488F" w:rsidP="00F758D5">
      <w:pPr>
        <w:rPr>
          <w:b/>
        </w:rPr>
      </w:pPr>
      <w:r>
        <w:rPr>
          <w:position w:val="-30"/>
        </w:rPr>
        <w:t>F</w:t>
      </w:r>
      <w:r w:rsidR="00F758D5" w:rsidRPr="008A1DA4">
        <w:rPr>
          <w:position w:val="-30"/>
        </w:rPr>
        <w:t>or the savings o</w:t>
      </w:r>
      <w:r w:rsidR="00653AC4">
        <w:rPr>
          <w:position w:val="-30"/>
        </w:rPr>
        <w:t>f</w:t>
      </w:r>
      <w:r w:rsidR="00F758D5" w:rsidRPr="008A1DA4">
        <w:rPr>
          <w:position w:val="-30"/>
        </w:rPr>
        <w:t xml:space="preserve"> all other measures</w:t>
      </w:r>
      <w:r w:rsidRPr="00F4488F">
        <w:rPr>
          <w:position w:val="-30"/>
        </w:rPr>
        <w:t>, see the calculation spreadsheet that accompanies this report</w:t>
      </w:r>
      <w:r w:rsidR="00F758D5" w:rsidRPr="008A1DA4">
        <w:rPr>
          <w:position w:val="-30"/>
        </w:rPr>
        <w:t>.</w:t>
      </w:r>
    </w:p>
    <w:p w:rsidR="000B0167" w:rsidRPr="008A1DA4" w:rsidRDefault="00A47FE3">
      <w:pPr>
        <w:pStyle w:val="Heading2"/>
        <w:keepNext w:val="0"/>
      </w:pPr>
      <w:bookmarkStart w:id="48" w:name="_Toc438469097"/>
      <w:r w:rsidRPr="008A1DA4">
        <w:t>2.2. Demand Reduction Estimation Methodologies</w:t>
      </w:r>
      <w:bookmarkEnd w:id="48"/>
    </w:p>
    <w:p w:rsidR="000B0167" w:rsidRPr="008A1DA4" w:rsidRDefault="00653AC4" w:rsidP="007100F8">
      <w:r>
        <w:t>T</w:t>
      </w:r>
      <w:r w:rsidR="00A47FE3" w:rsidRPr="008A1DA4">
        <w:t>here is no anticipated demand reduction associated with th</w:t>
      </w:r>
      <w:r>
        <w:t>ese</w:t>
      </w:r>
      <w:r w:rsidR="00A47FE3" w:rsidRPr="008A1DA4">
        <w:t xml:space="preserve"> measure</w:t>
      </w:r>
      <w:r>
        <w:t xml:space="preserve">s, because </w:t>
      </w:r>
      <w:r w:rsidRPr="008A1DA4">
        <w:t>the majority of</w:t>
      </w:r>
      <w:r>
        <w:t xml:space="preserve"> the</w:t>
      </w:r>
      <w:r w:rsidRPr="008A1DA4">
        <w:t xml:space="preserve"> load is confined to nighttime hours</w:t>
      </w:r>
      <w:r>
        <w:t>.</w:t>
      </w:r>
    </w:p>
    <w:p w:rsidR="000B0167" w:rsidRPr="008A1DA4" w:rsidRDefault="00A47FE3">
      <w:pPr>
        <w:pStyle w:val="Heading2"/>
      </w:pPr>
      <w:bookmarkStart w:id="49" w:name="_Toc438469098"/>
      <w:r w:rsidRPr="008A1DA4">
        <w:t>2.3. Gas Energy Savings Estimation Methodologies</w:t>
      </w:r>
      <w:bookmarkEnd w:id="49"/>
    </w:p>
    <w:p w:rsidR="000B0167" w:rsidRPr="00653AC4" w:rsidRDefault="00A47FE3" w:rsidP="007100F8">
      <w:pPr>
        <w:rPr>
          <w:i/>
        </w:rPr>
      </w:pPr>
      <w:r w:rsidRPr="008A1DA4">
        <w:t xml:space="preserve">There </w:t>
      </w:r>
      <w:proofErr w:type="gramStart"/>
      <w:r w:rsidRPr="008A1DA4">
        <w:t>are</w:t>
      </w:r>
      <w:proofErr w:type="gramEnd"/>
      <w:r w:rsidRPr="008A1DA4">
        <w:t xml:space="preserve"> no gas energy savings associated with </w:t>
      </w:r>
      <w:r w:rsidR="00F758D5" w:rsidRPr="008A1DA4">
        <w:t xml:space="preserve">these </w:t>
      </w:r>
      <w:r w:rsidRPr="008A1DA4">
        <w:t>measure</w:t>
      </w:r>
      <w:r w:rsidR="00F758D5" w:rsidRPr="008A1DA4">
        <w:t>s</w:t>
      </w:r>
      <w:r w:rsidRPr="008A1DA4">
        <w:t>.</w:t>
      </w:r>
    </w:p>
    <w:p w:rsidR="000B0167" w:rsidRPr="008A1DA4" w:rsidRDefault="00A47FE3">
      <w:pPr>
        <w:pStyle w:val="Heading1"/>
      </w:pPr>
      <w:r w:rsidRPr="008A1DA4">
        <w:br w:type="page"/>
      </w:r>
      <w:bookmarkStart w:id="50" w:name="_Toc438469099"/>
      <w:proofErr w:type="gramStart"/>
      <w:r w:rsidRPr="008A1DA4">
        <w:lastRenderedPageBreak/>
        <w:t>Section 3.</w:t>
      </w:r>
      <w:proofErr w:type="gramEnd"/>
      <w:r w:rsidRPr="008A1DA4">
        <w:t xml:space="preserve"> Load Shapes</w:t>
      </w:r>
      <w:bookmarkEnd w:id="50"/>
    </w:p>
    <w:p w:rsidR="000B0167" w:rsidRPr="008A1DA4" w:rsidRDefault="00A47FE3" w:rsidP="007100F8">
      <w:pPr>
        <w:autoSpaceDE w:val="0"/>
        <w:autoSpaceDN w:val="0"/>
        <w:adjustRightInd w:val="0"/>
      </w:pPr>
      <w:r w:rsidRPr="008A1DA4">
        <w:t>Load Shapes are an important part of the life-cycle cost analysis of any energy efficiency program portfolio.</w:t>
      </w:r>
      <w:r w:rsidR="006825F1" w:rsidRPr="008A1DA4">
        <w:t xml:space="preserve"> </w:t>
      </w:r>
      <w:r w:rsidRPr="008A1DA4">
        <w:t>The net benefits associated with a measure are based on the amount of energy saved and the avoided cost per unit of energy saved.</w:t>
      </w:r>
      <w:r w:rsidR="006825F1" w:rsidRPr="008A1DA4">
        <w:t xml:space="preserve"> </w:t>
      </w:r>
      <w:r w:rsidRPr="008A1DA4">
        <w:t>For electricity, the avoided cost varies hourly over an entire year.</w:t>
      </w:r>
      <w:r w:rsidR="006825F1" w:rsidRPr="008A1DA4">
        <w:t xml:space="preserve"> </w:t>
      </w:r>
      <w:r w:rsidRPr="008A1DA4">
        <w:t>Thus, the net benefits calculation for a measure requires both the total annual energy savings (kWh) of the measure and the distribution of that savings over the year.</w:t>
      </w:r>
      <w:r w:rsidR="006825F1" w:rsidRPr="008A1DA4">
        <w:t xml:space="preserve"> </w:t>
      </w:r>
      <w:r w:rsidRPr="008A1DA4">
        <w:t>The distribution of savings over the year is represented by the measure’s load shape.</w:t>
      </w:r>
      <w:r w:rsidR="006825F1" w:rsidRPr="008A1DA4">
        <w:t xml:space="preserve"> </w:t>
      </w:r>
      <w:r w:rsidRPr="008A1DA4">
        <w:t>The measure’s load shape indicates what fraction of annual energy savings occurs in each time period of the year.</w:t>
      </w:r>
      <w:r w:rsidR="006825F1" w:rsidRPr="008A1DA4">
        <w:t xml:space="preserve"> </w:t>
      </w:r>
      <w:r w:rsidRPr="008A1DA4">
        <w:t>An hourly load shape indicates what fraction of annual savings occurs for each hour of the year.</w:t>
      </w:r>
      <w:r w:rsidR="006825F1" w:rsidRPr="008A1DA4">
        <w:t xml:space="preserve"> </w:t>
      </w:r>
      <w:r w:rsidRPr="008A1DA4">
        <w:t>A Time-of-Use (TOU) load shape indicates what fraction occurs within five or six broad time-of-use periods, typically defined by a specific utility rate tariff.</w:t>
      </w:r>
      <w:r w:rsidR="006825F1" w:rsidRPr="008A1DA4">
        <w:t xml:space="preserve"> </w:t>
      </w:r>
      <w:r w:rsidRPr="008A1DA4">
        <w:t>Formally, a load shape is a set of fractions summing to unity, one fraction for each hour or for each TOU period.</w:t>
      </w:r>
      <w:r w:rsidR="006825F1" w:rsidRPr="008A1DA4">
        <w:t xml:space="preserve"> </w:t>
      </w:r>
      <w:r w:rsidRPr="008A1DA4">
        <w:t>Multiplying the measure load shape with the hourly avoided cost stream determines the average avoided cost per kWh for use in the life cycle cost analysis that determines a measure’s Total Resource Cost (TRC) benefit.</w:t>
      </w:r>
    </w:p>
    <w:p w:rsidR="000B0167" w:rsidRPr="008A1DA4" w:rsidRDefault="00A47FE3">
      <w:pPr>
        <w:pStyle w:val="Heading2"/>
        <w:keepNext w:val="0"/>
      </w:pPr>
      <w:bookmarkStart w:id="51" w:name="_Toc173742996"/>
      <w:bookmarkStart w:id="52" w:name="_Toc438469100"/>
      <w:r w:rsidRPr="008A1DA4">
        <w:t>3.1 Base Case Load Shapes</w:t>
      </w:r>
      <w:bookmarkEnd w:id="51"/>
      <w:bookmarkEnd w:id="52"/>
    </w:p>
    <w:p w:rsidR="000B0167" w:rsidRPr="008A1DA4" w:rsidRDefault="00A47FE3">
      <w:pPr>
        <w:pStyle w:val="BodyText"/>
      </w:pPr>
      <w:bookmarkStart w:id="53" w:name="_Toc173742997"/>
      <w:r w:rsidRPr="008A1DA4">
        <w:t>The base case load shape would be expected to follow a typical non-residential outdoor lighting end use load shape.</w:t>
      </w:r>
    </w:p>
    <w:p w:rsidR="000B0167" w:rsidRPr="008A1DA4" w:rsidRDefault="00A47FE3">
      <w:pPr>
        <w:pStyle w:val="Heading2"/>
        <w:keepNext w:val="0"/>
      </w:pPr>
      <w:bookmarkStart w:id="54" w:name="_Toc438469101"/>
      <w:r w:rsidRPr="008A1DA4">
        <w:t>3.2 Measure Load Shapes</w:t>
      </w:r>
      <w:bookmarkEnd w:id="53"/>
      <w:bookmarkEnd w:id="54"/>
    </w:p>
    <w:p w:rsidR="000B0167" w:rsidRPr="008A1DA4" w:rsidRDefault="00A47FE3" w:rsidP="007100F8">
      <w:r w:rsidRPr="008A1DA4">
        <w:t>For purposes of the net benefits estimates in the E3 calculator, what is required is the load shap</w:t>
      </w:r>
      <w:r w:rsidR="00701BD4" w:rsidRPr="008A1DA4">
        <w:t xml:space="preserve">e </w:t>
      </w:r>
      <w:r w:rsidRPr="008A1DA4">
        <w:t xml:space="preserve">that ideally represents the </w:t>
      </w:r>
      <w:r w:rsidRPr="008A1DA4">
        <w:rPr>
          <w:i/>
        </w:rPr>
        <w:t>difference</w:t>
      </w:r>
      <w:r w:rsidRPr="008A1DA4">
        <w:t xml:space="preserve"> between the base equipment and the installed energy efficiency measure.</w:t>
      </w:r>
      <w:r w:rsidR="006825F1" w:rsidRPr="008A1DA4">
        <w:t xml:space="preserve"> </w:t>
      </w:r>
      <w:r w:rsidRPr="008A1DA4">
        <w:t xml:space="preserve">This </w:t>
      </w:r>
      <w:r w:rsidRPr="008A1DA4">
        <w:rPr>
          <w:i/>
        </w:rPr>
        <w:t>difference</w:t>
      </w:r>
      <w:r w:rsidRPr="008A1DA4">
        <w:t xml:space="preserve"> load profile is what is called the Measure Load Shape and would be the preferred load shape for use in the net benefits calculations.</w:t>
      </w:r>
    </w:p>
    <w:p w:rsidR="000B0167" w:rsidRPr="008A1DA4" w:rsidRDefault="000B0167" w:rsidP="007100F8"/>
    <w:p w:rsidR="000B0167" w:rsidRDefault="00A47FE3" w:rsidP="007100F8">
      <w:r w:rsidRPr="008A1DA4">
        <w:t>Th</w:t>
      </w:r>
      <w:r w:rsidR="005134C8" w:rsidRPr="008A1DA4">
        <w:t>e measure load sha</w:t>
      </w:r>
      <w:r w:rsidRPr="008A1DA4">
        <w:t xml:space="preserve">pe for this measure is determined by the E3 </w:t>
      </w:r>
      <w:r w:rsidR="005134C8" w:rsidRPr="008A1DA4">
        <w:t>c</w:t>
      </w:r>
      <w:r w:rsidRPr="008A1DA4">
        <w:t>alculator based on the applicable non-residential market sector and the outdoor lighting end-use, since load shape will not alter with new technology.</w:t>
      </w:r>
    </w:p>
    <w:p w:rsidR="00686958" w:rsidRPr="008A1DA4" w:rsidRDefault="00686958" w:rsidP="007100F8"/>
    <w:p w:rsidR="00686958" w:rsidRDefault="00686958" w:rsidP="00686958">
      <w:pPr>
        <w:pStyle w:val="Caption"/>
        <w:keepNext/>
        <w:jc w:val="center"/>
      </w:pPr>
      <w:bookmarkStart w:id="55" w:name="_Toc438469112"/>
      <w:r>
        <w:t xml:space="preserve">Table </w:t>
      </w:r>
      <w:r w:rsidR="00C65AE2">
        <w:fldChar w:fldCharType="begin"/>
      </w:r>
      <w:r w:rsidR="00C65AE2">
        <w:instrText xml:space="preserve"> SEQ Table \* ARABIC </w:instrText>
      </w:r>
      <w:r w:rsidR="00C65AE2">
        <w:fldChar w:fldCharType="separate"/>
      </w:r>
      <w:r w:rsidR="00C65AE2">
        <w:rPr>
          <w:noProof/>
        </w:rPr>
        <w:t>6</w:t>
      </w:r>
      <w:r w:rsidR="00C65AE2">
        <w:rPr>
          <w:noProof/>
        </w:rPr>
        <w:fldChar w:fldCharType="end"/>
      </w:r>
      <w:r>
        <w:t xml:space="preserve"> Building Type and Load Shape</w:t>
      </w:r>
      <w:bookmarkEnd w:id="55"/>
    </w:p>
    <w:tbl>
      <w:tblPr>
        <w:tblStyle w:val="TableGrid1"/>
        <w:tblW w:w="5000" w:type="pct"/>
        <w:tblLook w:val="01E0" w:firstRow="1" w:lastRow="1" w:firstColumn="1" w:lastColumn="1" w:noHBand="0" w:noVBand="0"/>
      </w:tblPr>
      <w:tblGrid>
        <w:gridCol w:w="3229"/>
        <w:gridCol w:w="3407"/>
        <w:gridCol w:w="2940"/>
      </w:tblGrid>
      <w:tr w:rsidR="00B96A6F" w:rsidRPr="00B96A6F" w:rsidTr="00C42F61">
        <w:tc>
          <w:tcPr>
            <w:tcW w:w="1686" w:type="pct"/>
            <w:shd w:val="clear" w:color="auto" w:fill="D9D9D9" w:themeFill="background1" w:themeFillShade="D9"/>
          </w:tcPr>
          <w:p w:rsidR="00B96A6F" w:rsidRPr="00B96A6F" w:rsidRDefault="00B96A6F" w:rsidP="00C42F61">
            <w:pPr>
              <w:rPr>
                <w:rFonts w:ascii="Times New Roman" w:hAnsi="Times New Roman"/>
                <w:b/>
                <w:sz w:val="20"/>
                <w:szCs w:val="20"/>
                <w:highlight w:val="yellow"/>
              </w:rPr>
            </w:pPr>
            <w:r w:rsidRPr="00B96A6F">
              <w:rPr>
                <w:rFonts w:ascii="Times New Roman" w:hAnsi="Times New Roman"/>
                <w:b/>
                <w:sz w:val="20"/>
                <w:szCs w:val="20"/>
              </w:rPr>
              <w:t>Building Type</w:t>
            </w:r>
          </w:p>
        </w:tc>
        <w:tc>
          <w:tcPr>
            <w:tcW w:w="1779" w:type="pct"/>
            <w:shd w:val="clear" w:color="auto" w:fill="D9D9D9" w:themeFill="background1" w:themeFillShade="D9"/>
          </w:tcPr>
          <w:p w:rsidR="00B96A6F" w:rsidRPr="00B96A6F" w:rsidRDefault="00B96A6F" w:rsidP="00C42F61">
            <w:pPr>
              <w:rPr>
                <w:rFonts w:ascii="Times New Roman" w:hAnsi="Times New Roman"/>
                <w:b/>
                <w:sz w:val="20"/>
                <w:szCs w:val="20"/>
              </w:rPr>
            </w:pPr>
            <w:r w:rsidRPr="00B96A6F">
              <w:rPr>
                <w:rFonts w:ascii="Times New Roman" w:hAnsi="Times New Roman"/>
                <w:b/>
                <w:sz w:val="20"/>
                <w:szCs w:val="20"/>
              </w:rPr>
              <w:t>Load Shape</w:t>
            </w:r>
          </w:p>
        </w:tc>
        <w:tc>
          <w:tcPr>
            <w:tcW w:w="1535" w:type="pct"/>
            <w:shd w:val="clear" w:color="auto" w:fill="D9D9D9" w:themeFill="background1" w:themeFillShade="D9"/>
          </w:tcPr>
          <w:p w:rsidR="00B96A6F" w:rsidRPr="00B96A6F" w:rsidRDefault="00B96A6F" w:rsidP="00C42F61">
            <w:pPr>
              <w:rPr>
                <w:rFonts w:ascii="Times New Roman" w:hAnsi="Times New Roman"/>
                <w:b/>
                <w:sz w:val="20"/>
                <w:szCs w:val="20"/>
                <w:highlight w:val="yellow"/>
              </w:rPr>
            </w:pPr>
            <w:r w:rsidRPr="00B96A6F">
              <w:rPr>
                <w:rFonts w:ascii="Times New Roman" w:hAnsi="Times New Roman"/>
                <w:b/>
                <w:sz w:val="20"/>
                <w:szCs w:val="20"/>
              </w:rPr>
              <w:t>E3 Alternate Building Type</w:t>
            </w:r>
          </w:p>
        </w:tc>
      </w:tr>
      <w:tr w:rsidR="00B96A6F" w:rsidRPr="00B96A6F" w:rsidTr="00C42F61">
        <w:tc>
          <w:tcPr>
            <w:tcW w:w="1686" w:type="pct"/>
          </w:tcPr>
          <w:p w:rsidR="00B96A6F" w:rsidRPr="00B96A6F" w:rsidRDefault="00B96A6F" w:rsidP="00C42F61">
            <w:pPr>
              <w:rPr>
                <w:rFonts w:ascii="Times New Roman" w:hAnsi="Times New Roman"/>
                <w:sz w:val="20"/>
                <w:szCs w:val="20"/>
              </w:rPr>
            </w:pPr>
            <w:r>
              <w:rPr>
                <w:rFonts w:ascii="Times New Roman" w:hAnsi="Times New Roman"/>
                <w:sz w:val="20"/>
                <w:szCs w:val="20"/>
              </w:rPr>
              <w:t>Any</w:t>
            </w:r>
          </w:p>
        </w:tc>
        <w:tc>
          <w:tcPr>
            <w:tcW w:w="1779" w:type="pct"/>
          </w:tcPr>
          <w:p w:rsidR="00B96A6F" w:rsidRPr="00B96A6F" w:rsidRDefault="00686958" w:rsidP="00C42F61">
            <w:pPr>
              <w:rPr>
                <w:rFonts w:ascii="Times New Roman" w:hAnsi="Times New Roman"/>
                <w:sz w:val="20"/>
                <w:szCs w:val="20"/>
              </w:rPr>
            </w:pPr>
            <w:r w:rsidRPr="00686958">
              <w:rPr>
                <w:rFonts w:ascii="Times New Roman" w:hAnsi="Times New Roman"/>
                <w:sz w:val="20"/>
                <w:szCs w:val="20"/>
              </w:rPr>
              <w:t>PGE:2 = Commercial Outdoor Lighting</w:t>
            </w:r>
          </w:p>
        </w:tc>
        <w:tc>
          <w:tcPr>
            <w:tcW w:w="1535" w:type="pct"/>
          </w:tcPr>
          <w:p w:rsidR="00B96A6F" w:rsidRPr="00B96A6F" w:rsidRDefault="00686958" w:rsidP="00C42F61">
            <w:pPr>
              <w:rPr>
                <w:rFonts w:ascii="Times New Roman" w:hAnsi="Times New Roman"/>
                <w:sz w:val="20"/>
                <w:szCs w:val="20"/>
              </w:rPr>
            </w:pPr>
            <w:r w:rsidRPr="00686958">
              <w:rPr>
                <w:rFonts w:ascii="Times New Roman" w:hAnsi="Times New Roman"/>
                <w:sz w:val="20"/>
                <w:szCs w:val="20"/>
              </w:rPr>
              <w:t>COMMERCIAL</w:t>
            </w:r>
          </w:p>
        </w:tc>
      </w:tr>
    </w:tbl>
    <w:p w:rsidR="000B0167" w:rsidRPr="008A1DA4" w:rsidRDefault="00A47FE3" w:rsidP="00722229">
      <w:pPr>
        <w:pStyle w:val="Heading1"/>
      </w:pPr>
      <w:r w:rsidRPr="008A1DA4">
        <w:br w:type="page"/>
      </w:r>
      <w:bookmarkStart w:id="56" w:name="_Toc438469102"/>
      <w:proofErr w:type="gramStart"/>
      <w:r w:rsidRPr="008A1DA4">
        <w:lastRenderedPageBreak/>
        <w:t>Section 4.</w:t>
      </w:r>
      <w:proofErr w:type="gramEnd"/>
      <w:r w:rsidRPr="008A1DA4">
        <w:t xml:space="preserve"> Base Case &amp; Measure Costs</w:t>
      </w:r>
      <w:bookmarkEnd w:id="56"/>
    </w:p>
    <w:p w:rsidR="000B0167" w:rsidRPr="007732F4" w:rsidRDefault="00A47FE3">
      <w:pPr>
        <w:pStyle w:val="Heading2"/>
        <w:keepNext w:val="0"/>
      </w:pPr>
      <w:bookmarkStart w:id="57" w:name="_Toc438469103"/>
      <w:r w:rsidRPr="007732F4">
        <w:t>4.1 Base Case(s) Costs</w:t>
      </w:r>
      <w:bookmarkEnd w:id="57"/>
    </w:p>
    <w:p w:rsidR="000B0167" w:rsidRPr="007732F4" w:rsidRDefault="00117E83" w:rsidP="00117E83">
      <w:r w:rsidRPr="007732F4">
        <w:t xml:space="preserve">RS Means electrical cost data </w:t>
      </w:r>
      <w:r w:rsidR="00023B18" w:rsidRPr="007732F4">
        <w:t>was consulted as a</w:t>
      </w:r>
      <w:r w:rsidR="00260D1F" w:rsidRPr="007732F4">
        <w:t xml:space="preserve"> </w:t>
      </w:r>
      <w:r w:rsidR="00023B18" w:rsidRPr="007732F4">
        <w:t xml:space="preserve">reference point for </w:t>
      </w:r>
      <w:r w:rsidR="00260D1F" w:rsidRPr="007732F4">
        <w:t>current base case costs for the</w:t>
      </w:r>
      <w:r w:rsidRPr="007732F4">
        <w:t xml:space="preserve"> </w:t>
      </w:r>
      <w:r w:rsidR="00023B18" w:rsidRPr="007732F4">
        <w:t>applications defined in this work paper.</w:t>
      </w:r>
      <w:bookmarkStart w:id="58" w:name="_Ref327762127"/>
      <w:r w:rsidR="00023B18" w:rsidRPr="007732F4">
        <w:rPr>
          <w:vertAlign w:val="superscript"/>
        </w:rPr>
        <w:endnoteReference w:id="17"/>
      </w:r>
      <w:bookmarkEnd w:id="58"/>
    </w:p>
    <w:p w:rsidR="000B0167" w:rsidRPr="007732F4" w:rsidRDefault="000B0167" w:rsidP="007100F8">
      <w:pPr>
        <w:ind w:left="720" w:hanging="720"/>
      </w:pPr>
    </w:p>
    <w:p w:rsidR="00EE50DB" w:rsidRPr="006B421E" w:rsidRDefault="00F4488F" w:rsidP="007100F8">
      <w:pPr>
        <w:ind w:left="720" w:hanging="720"/>
        <w:rPr>
          <w:highlight w:val="yellow"/>
        </w:rPr>
      </w:pPr>
      <w:r w:rsidRPr="007732F4">
        <w:t xml:space="preserve">For </w:t>
      </w:r>
      <w:r w:rsidR="00EE50DB" w:rsidRPr="007732F4">
        <w:t>pricing on all measures</w:t>
      </w:r>
      <w:r w:rsidRPr="007732F4">
        <w:t>, see the calculation spreadsheet that accompanies this report</w:t>
      </w:r>
      <w:r w:rsidR="00EE50DB" w:rsidRPr="007732F4">
        <w:t>.</w:t>
      </w:r>
    </w:p>
    <w:p w:rsidR="000B0167" w:rsidRPr="007732F4" w:rsidRDefault="00A47FE3">
      <w:pPr>
        <w:pStyle w:val="Heading2"/>
        <w:keepNext w:val="0"/>
      </w:pPr>
      <w:bookmarkStart w:id="59" w:name="_Toc438469104"/>
      <w:r w:rsidRPr="007732F4">
        <w:t>4.2 Measure Costs</w:t>
      </w:r>
      <w:bookmarkEnd w:id="59"/>
    </w:p>
    <w:p w:rsidR="00FA16B6" w:rsidRPr="007732F4" w:rsidRDefault="00FA16B6" w:rsidP="00FA16B6">
      <w:r w:rsidRPr="007732F4">
        <w:t xml:space="preserve">RS Means electrical cost data were consulted </w:t>
      </w:r>
      <w:r w:rsidR="000512C2" w:rsidRPr="007732F4">
        <w:t xml:space="preserve">as </w:t>
      </w:r>
      <w:r w:rsidRPr="007732F4">
        <w:t>reference points for current measure case costs for the applications defined in this work paper</w:t>
      </w:r>
      <w:r w:rsidR="00E37573" w:rsidRPr="007732F4">
        <w:t>.</w:t>
      </w:r>
      <w:r w:rsidR="00E37573" w:rsidRPr="007732F4">
        <w:rPr>
          <w:vertAlign w:val="superscript"/>
        </w:rPr>
        <w:fldChar w:fldCharType="begin"/>
      </w:r>
      <w:r w:rsidR="00E37573" w:rsidRPr="007732F4">
        <w:rPr>
          <w:vertAlign w:val="superscript"/>
        </w:rPr>
        <w:instrText xml:space="preserve"> NOTEREF _Ref327762127 \h  \* MERGEFORMAT </w:instrText>
      </w:r>
      <w:r w:rsidR="00E37573" w:rsidRPr="007732F4">
        <w:rPr>
          <w:vertAlign w:val="superscript"/>
        </w:rPr>
      </w:r>
      <w:r w:rsidR="00E37573" w:rsidRPr="007732F4">
        <w:rPr>
          <w:vertAlign w:val="superscript"/>
        </w:rPr>
        <w:fldChar w:fldCharType="separate"/>
      </w:r>
      <w:r w:rsidR="00EA1EA1" w:rsidRPr="007732F4">
        <w:rPr>
          <w:vertAlign w:val="superscript"/>
        </w:rPr>
        <w:t>16</w:t>
      </w:r>
      <w:r w:rsidR="00E37573" w:rsidRPr="007732F4">
        <w:rPr>
          <w:vertAlign w:val="superscript"/>
        </w:rPr>
        <w:fldChar w:fldCharType="end"/>
      </w:r>
      <w:r w:rsidR="00F178CD">
        <w:rPr>
          <w:vertAlign w:val="superscript"/>
        </w:rPr>
        <w:t xml:space="preserve">  </w:t>
      </w:r>
    </w:p>
    <w:p w:rsidR="00FA16B6" w:rsidRPr="007732F4" w:rsidRDefault="00FA16B6" w:rsidP="007100F8"/>
    <w:p w:rsidR="00FA16B6" w:rsidRPr="007732F4" w:rsidRDefault="00F178CD" w:rsidP="00F178CD">
      <w:r>
        <w:t>The labor cost used is $187.14 per WO017 for lift accessible fixtures</w:t>
      </w:r>
      <w:r>
        <w:rPr>
          <w:rStyle w:val="EndnoteReference"/>
        </w:rPr>
        <w:endnoteReference w:id="18"/>
      </w:r>
      <w:r>
        <w:t xml:space="preserve">.  </w:t>
      </w:r>
      <w:r w:rsidR="00F4488F" w:rsidRPr="007732F4">
        <w:t>F</w:t>
      </w:r>
      <w:r w:rsidR="00FA16B6" w:rsidRPr="007732F4">
        <w:t>or pricing on all measures</w:t>
      </w:r>
      <w:r w:rsidR="00F4488F" w:rsidRPr="007732F4">
        <w:t>, see the calculation spreadsheet that accompanies this report</w:t>
      </w:r>
      <w:r w:rsidR="00FA16B6" w:rsidRPr="007732F4">
        <w:t>.</w:t>
      </w:r>
    </w:p>
    <w:p w:rsidR="000B0167" w:rsidRPr="007732F4" w:rsidRDefault="00A47FE3">
      <w:pPr>
        <w:pStyle w:val="Heading2"/>
        <w:keepNext w:val="0"/>
      </w:pPr>
      <w:bookmarkStart w:id="60" w:name="_Toc438469105"/>
      <w:r w:rsidRPr="007732F4">
        <w:t>4.3 Incremental &amp; Full Measure Costs</w:t>
      </w:r>
      <w:bookmarkEnd w:id="60"/>
    </w:p>
    <w:p w:rsidR="00C65AE2" w:rsidRDefault="00C65AE2" w:rsidP="00C65AE2">
      <w:pPr>
        <w:pStyle w:val="Caption"/>
        <w:keepNext/>
        <w:jc w:val="center"/>
      </w:pPr>
      <w:r>
        <w:t xml:space="preserve">Table </w:t>
      </w:r>
      <w:fldSimple w:instr=" SEQ Table \* ARABIC ">
        <w:r>
          <w:rPr>
            <w:noProof/>
          </w:rPr>
          <w:t>7</w:t>
        </w:r>
      </w:fldSimple>
      <w:r>
        <w:t xml:space="preserve"> Full and Incremental Measure Cost Equations</w:t>
      </w:r>
    </w:p>
    <w:tbl>
      <w:tblPr>
        <w:tblStyle w:val="TableGrid1"/>
        <w:tblW w:w="5000" w:type="pct"/>
        <w:tblLook w:val="01E0" w:firstRow="1" w:lastRow="1" w:firstColumn="1" w:lastColumn="1" w:noHBand="0" w:noVBand="0"/>
      </w:tblPr>
      <w:tblGrid>
        <w:gridCol w:w="1345"/>
        <w:gridCol w:w="2744"/>
        <w:gridCol w:w="2654"/>
        <w:gridCol w:w="2833"/>
      </w:tblGrid>
      <w:tr w:rsidR="00C65AE2" w:rsidRPr="00500C4E" w:rsidTr="00C65AE2">
        <w:tc>
          <w:tcPr>
            <w:tcW w:w="702" w:type="pct"/>
            <w:vMerge w:val="restart"/>
            <w:shd w:val="clear" w:color="auto" w:fill="D9D9D9" w:themeFill="background1" w:themeFillShade="D9"/>
          </w:tcPr>
          <w:p w:rsidR="00C65AE2" w:rsidRPr="00C65AE2" w:rsidRDefault="00C65AE2" w:rsidP="004F55C7">
            <w:pPr>
              <w:rPr>
                <w:rFonts w:ascii="Arial" w:hAnsi="Arial" w:cs="Arial"/>
                <w:b/>
                <w:sz w:val="20"/>
                <w:szCs w:val="20"/>
                <w:highlight w:val="yellow"/>
              </w:rPr>
            </w:pPr>
            <w:r w:rsidRPr="00C65AE2">
              <w:rPr>
                <w:rFonts w:ascii="Arial" w:hAnsi="Arial" w:cs="Arial"/>
                <w:b/>
                <w:sz w:val="20"/>
                <w:szCs w:val="20"/>
              </w:rPr>
              <w:t>Installation Type</w:t>
            </w:r>
          </w:p>
        </w:tc>
        <w:tc>
          <w:tcPr>
            <w:tcW w:w="1433" w:type="pct"/>
            <w:vMerge w:val="restart"/>
            <w:shd w:val="clear" w:color="auto" w:fill="D9D9D9" w:themeFill="background1" w:themeFillShade="D9"/>
          </w:tcPr>
          <w:p w:rsidR="00C65AE2" w:rsidRPr="00C65AE2" w:rsidRDefault="00C65AE2" w:rsidP="004F55C7">
            <w:pPr>
              <w:rPr>
                <w:rFonts w:ascii="Arial" w:hAnsi="Arial" w:cs="Arial"/>
                <w:b/>
                <w:sz w:val="20"/>
                <w:szCs w:val="20"/>
              </w:rPr>
            </w:pPr>
            <w:r w:rsidRPr="00C65AE2">
              <w:rPr>
                <w:rFonts w:ascii="Arial" w:hAnsi="Arial" w:cs="Arial"/>
                <w:b/>
                <w:sz w:val="20"/>
                <w:szCs w:val="20"/>
              </w:rPr>
              <w:t>Incremental Measure Cost</w:t>
            </w:r>
          </w:p>
        </w:tc>
        <w:tc>
          <w:tcPr>
            <w:tcW w:w="2865" w:type="pct"/>
            <w:gridSpan w:val="2"/>
            <w:shd w:val="clear" w:color="auto" w:fill="D9D9D9" w:themeFill="background1" w:themeFillShade="D9"/>
          </w:tcPr>
          <w:p w:rsidR="00C65AE2" w:rsidRPr="00C65AE2" w:rsidRDefault="00C65AE2" w:rsidP="004F55C7">
            <w:pPr>
              <w:rPr>
                <w:rFonts w:ascii="Arial" w:hAnsi="Arial" w:cs="Arial"/>
                <w:b/>
                <w:sz w:val="20"/>
                <w:szCs w:val="20"/>
                <w:highlight w:val="yellow"/>
              </w:rPr>
            </w:pPr>
            <w:r w:rsidRPr="00C65AE2">
              <w:rPr>
                <w:rFonts w:ascii="Arial" w:hAnsi="Arial" w:cs="Arial"/>
                <w:b/>
                <w:sz w:val="20"/>
                <w:szCs w:val="20"/>
              </w:rPr>
              <w:t>Full Measure Cost</w:t>
            </w:r>
          </w:p>
        </w:tc>
      </w:tr>
      <w:tr w:rsidR="00C65AE2" w:rsidRPr="00500C4E" w:rsidTr="00C65AE2">
        <w:tc>
          <w:tcPr>
            <w:tcW w:w="702" w:type="pct"/>
            <w:vMerge/>
            <w:shd w:val="clear" w:color="auto" w:fill="D9D9D9" w:themeFill="background1" w:themeFillShade="D9"/>
          </w:tcPr>
          <w:p w:rsidR="00C65AE2" w:rsidRPr="00C65AE2" w:rsidRDefault="00C65AE2" w:rsidP="004F55C7">
            <w:pPr>
              <w:rPr>
                <w:rFonts w:ascii="Arial" w:hAnsi="Arial" w:cs="Arial"/>
                <w:b/>
                <w:sz w:val="20"/>
                <w:szCs w:val="20"/>
              </w:rPr>
            </w:pPr>
          </w:p>
        </w:tc>
        <w:tc>
          <w:tcPr>
            <w:tcW w:w="1433" w:type="pct"/>
            <w:vMerge/>
            <w:shd w:val="clear" w:color="auto" w:fill="D9D9D9" w:themeFill="background1" w:themeFillShade="D9"/>
          </w:tcPr>
          <w:p w:rsidR="00C65AE2" w:rsidRPr="00C65AE2" w:rsidRDefault="00C65AE2" w:rsidP="004F55C7">
            <w:pPr>
              <w:rPr>
                <w:rFonts w:ascii="Arial" w:hAnsi="Arial" w:cs="Arial"/>
                <w:b/>
                <w:sz w:val="20"/>
                <w:szCs w:val="20"/>
              </w:rPr>
            </w:pPr>
          </w:p>
        </w:tc>
        <w:tc>
          <w:tcPr>
            <w:tcW w:w="1386" w:type="pct"/>
            <w:shd w:val="clear" w:color="auto" w:fill="F2F2F2" w:themeFill="background1" w:themeFillShade="F2"/>
          </w:tcPr>
          <w:p w:rsidR="00C65AE2" w:rsidRPr="00C65AE2" w:rsidRDefault="00C65AE2" w:rsidP="004F55C7">
            <w:pPr>
              <w:rPr>
                <w:rFonts w:ascii="Arial" w:hAnsi="Arial" w:cs="Arial"/>
                <w:b/>
                <w:sz w:val="20"/>
                <w:szCs w:val="20"/>
              </w:rPr>
            </w:pPr>
            <w:r w:rsidRPr="00C65AE2">
              <w:rPr>
                <w:rFonts w:ascii="Arial" w:hAnsi="Arial" w:cs="Arial"/>
                <w:b/>
                <w:sz w:val="20"/>
                <w:szCs w:val="20"/>
              </w:rPr>
              <w:t>1</w:t>
            </w:r>
            <w:r w:rsidRPr="00C65AE2">
              <w:rPr>
                <w:rFonts w:ascii="Arial" w:hAnsi="Arial" w:cs="Arial"/>
                <w:b/>
                <w:sz w:val="20"/>
                <w:szCs w:val="20"/>
                <w:vertAlign w:val="superscript"/>
              </w:rPr>
              <w:t>st</w:t>
            </w:r>
            <w:r w:rsidRPr="00C65AE2">
              <w:rPr>
                <w:rFonts w:ascii="Arial" w:hAnsi="Arial" w:cs="Arial"/>
                <w:b/>
                <w:sz w:val="20"/>
                <w:szCs w:val="20"/>
              </w:rPr>
              <w:t xml:space="preserve"> Baseline</w:t>
            </w:r>
          </w:p>
        </w:tc>
        <w:tc>
          <w:tcPr>
            <w:tcW w:w="1479" w:type="pct"/>
            <w:shd w:val="clear" w:color="auto" w:fill="F2F2F2" w:themeFill="background1" w:themeFillShade="F2"/>
          </w:tcPr>
          <w:p w:rsidR="00C65AE2" w:rsidRPr="00C65AE2" w:rsidRDefault="00C65AE2" w:rsidP="004F55C7">
            <w:pPr>
              <w:rPr>
                <w:rFonts w:ascii="Arial" w:hAnsi="Arial" w:cs="Arial"/>
                <w:b/>
                <w:sz w:val="20"/>
                <w:szCs w:val="20"/>
              </w:rPr>
            </w:pPr>
            <w:r w:rsidRPr="00C65AE2">
              <w:rPr>
                <w:rFonts w:ascii="Arial" w:hAnsi="Arial" w:cs="Arial"/>
                <w:b/>
                <w:sz w:val="20"/>
                <w:szCs w:val="20"/>
              </w:rPr>
              <w:t>2</w:t>
            </w:r>
            <w:r w:rsidRPr="00C65AE2">
              <w:rPr>
                <w:rFonts w:ascii="Arial" w:hAnsi="Arial" w:cs="Arial"/>
                <w:b/>
                <w:sz w:val="20"/>
                <w:szCs w:val="20"/>
                <w:vertAlign w:val="superscript"/>
              </w:rPr>
              <w:t>nd</w:t>
            </w:r>
            <w:r w:rsidRPr="00C65AE2">
              <w:rPr>
                <w:rFonts w:ascii="Arial" w:hAnsi="Arial" w:cs="Arial"/>
                <w:b/>
                <w:sz w:val="20"/>
                <w:szCs w:val="20"/>
              </w:rPr>
              <w:t xml:space="preserve"> Baseline</w:t>
            </w:r>
          </w:p>
        </w:tc>
      </w:tr>
      <w:tr w:rsidR="00C65AE2" w:rsidRPr="00500C4E" w:rsidTr="00C65AE2">
        <w:tc>
          <w:tcPr>
            <w:tcW w:w="702" w:type="pct"/>
          </w:tcPr>
          <w:p w:rsidR="00C65AE2" w:rsidRPr="00C65AE2" w:rsidRDefault="00C65AE2" w:rsidP="004F55C7">
            <w:pPr>
              <w:rPr>
                <w:rFonts w:ascii="Arial" w:hAnsi="Arial" w:cs="Arial"/>
                <w:sz w:val="20"/>
                <w:szCs w:val="20"/>
              </w:rPr>
            </w:pPr>
            <w:r w:rsidRPr="00C65AE2">
              <w:rPr>
                <w:rFonts w:ascii="Arial" w:hAnsi="Arial" w:cs="Arial"/>
                <w:sz w:val="20"/>
                <w:szCs w:val="20"/>
              </w:rPr>
              <w:t>ROB</w:t>
            </w:r>
          </w:p>
        </w:tc>
        <w:tc>
          <w:tcPr>
            <w:tcW w:w="1433" w:type="pct"/>
            <w:vMerge w:val="restart"/>
          </w:tcPr>
          <w:p w:rsidR="00C65AE2" w:rsidRPr="00C65AE2" w:rsidRDefault="00C65AE2" w:rsidP="004F55C7">
            <w:pPr>
              <w:rPr>
                <w:rFonts w:ascii="Arial" w:hAnsi="Arial" w:cs="Arial"/>
                <w:sz w:val="20"/>
                <w:szCs w:val="20"/>
              </w:rPr>
            </w:pPr>
            <w:r w:rsidRPr="00C65AE2">
              <w:rPr>
                <w:rFonts w:ascii="Arial" w:hAnsi="Arial" w:cs="Arial"/>
                <w:sz w:val="20"/>
                <w:szCs w:val="20"/>
              </w:rPr>
              <w:t>(MEC + MLC) – (BEC + BLC)</w:t>
            </w:r>
          </w:p>
        </w:tc>
        <w:tc>
          <w:tcPr>
            <w:tcW w:w="1386" w:type="pct"/>
            <w:vMerge w:val="restart"/>
          </w:tcPr>
          <w:p w:rsidR="00C65AE2" w:rsidRPr="00C65AE2" w:rsidRDefault="00C65AE2" w:rsidP="004F55C7">
            <w:pPr>
              <w:rPr>
                <w:rFonts w:ascii="Arial" w:hAnsi="Arial" w:cs="Arial"/>
                <w:sz w:val="20"/>
                <w:szCs w:val="20"/>
              </w:rPr>
            </w:pPr>
            <w:r w:rsidRPr="00C65AE2">
              <w:rPr>
                <w:rFonts w:ascii="Arial" w:hAnsi="Arial" w:cs="Arial"/>
                <w:sz w:val="20"/>
                <w:szCs w:val="20"/>
              </w:rPr>
              <w:t>(MEC + MLC) – (BEC + BLC)</w:t>
            </w:r>
          </w:p>
        </w:tc>
        <w:tc>
          <w:tcPr>
            <w:tcW w:w="1479" w:type="pct"/>
            <w:vMerge w:val="restart"/>
          </w:tcPr>
          <w:p w:rsidR="00C65AE2" w:rsidRPr="00C65AE2" w:rsidRDefault="00C65AE2" w:rsidP="004F55C7">
            <w:pPr>
              <w:rPr>
                <w:rFonts w:ascii="Arial" w:hAnsi="Arial" w:cs="Arial"/>
                <w:sz w:val="20"/>
                <w:szCs w:val="20"/>
              </w:rPr>
            </w:pPr>
            <w:r w:rsidRPr="00C65AE2">
              <w:rPr>
                <w:rFonts w:ascii="Arial" w:hAnsi="Arial" w:cs="Arial"/>
                <w:sz w:val="20"/>
                <w:szCs w:val="20"/>
              </w:rPr>
              <w:t>N/A</w:t>
            </w:r>
          </w:p>
        </w:tc>
      </w:tr>
      <w:tr w:rsidR="00C65AE2" w:rsidRPr="00500C4E" w:rsidTr="00C65AE2">
        <w:tc>
          <w:tcPr>
            <w:tcW w:w="702" w:type="pct"/>
          </w:tcPr>
          <w:p w:rsidR="00C65AE2" w:rsidRPr="00C65AE2" w:rsidRDefault="00C65AE2" w:rsidP="004F55C7">
            <w:pPr>
              <w:rPr>
                <w:rFonts w:ascii="Arial" w:hAnsi="Arial" w:cs="Arial"/>
                <w:sz w:val="20"/>
                <w:szCs w:val="20"/>
              </w:rPr>
            </w:pPr>
            <w:r w:rsidRPr="00C65AE2">
              <w:rPr>
                <w:rFonts w:ascii="Arial" w:hAnsi="Arial" w:cs="Arial"/>
                <w:sz w:val="20"/>
                <w:szCs w:val="20"/>
              </w:rPr>
              <w:t>NEW/NC</w:t>
            </w:r>
          </w:p>
        </w:tc>
        <w:tc>
          <w:tcPr>
            <w:tcW w:w="1433" w:type="pct"/>
            <w:vMerge/>
          </w:tcPr>
          <w:p w:rsidR="00C65AE2" w:rsidRPr="00C65AE2" w:rsidRDefault="00C65AE2" w:rsidP="004F55C7">
            <w:pPr>
              <w:rPr>
                <w:rFonts w:ascii="Arial" w:hAnsi="Arial" w:cs="Arial"/>
                <w:sz w:val="20"/>
                <w:szCs w:val="20"/>
              </w:rPr>
            </w:pPr>
          </w:p>
        </w:tc>
        <w:tc>
          <w:tcPr>
            <w:tcW w:w="1386" w:type="pct"/>
            <w:vMerge/>
          </w:tcPr>
          <w:p w:rsidR="00C65AE2" w:rsidRPr="00C65AE2" w:rsidRDefault="00C65AE2" w:rsidP="004F55C7">
            <w:pPr>
              <w:rPr>
                <w:rFonts w:ascii="Arial" w:hAnsi="Arial" w:cs="Arial"/>
                <w:sz w:val="20"/>
                <w:szCs w:val="20"/>
              </w:rPr>
            </w:pPr>
          </w:p>
        </w:tc>
        <w:tc>
          <w:tcPr>
            <w:tcW w:w="1479" w:type="pct"/>
            <w:vMerge/>
          </w:tcPr>
          <w:p w:rsidR="00C65AE2" w:rsidRPr="00C65AE2" w:rsidRDefault="00C65AE2" w:rsidP="004F55C7">
            <w:pPr>
              <w:rPr>
                <w:rFonts w:ascii="Arial" w:hAnsi="Arial" w:cs="Arial"/>
                <w:sz w:val="20"/>
                <w:szCs w:val="20"/>
              </w:rPr>
            </w:pPr>
          </w:p>
        </w:tc>
      </w:tr>
      <w:tr w:rsidR="00C65AE2" w:rsidRPr="00500C4E" w:rsidTr="00C65AE2">
        <w:tc>
          <w:tcPr>
            <w:tcW w:w="702" w:type="pct"/>
          </w:tcPr>
          <w:p w:rsidR="00C65AE2" w:rsidRPr="00C65AE2" w:rsidRDefault="00C65AE2" w:rsidP="004F55C7">
            <w:pPr>
              <w:rPr>
                <w:rFonts w:ascii="Arial" w:hAnsi="Arial" w:cs="Arial"/>
                <w:sz w:val="20"/>
                <w:szCs w:val="20"/>
              </w:rPr>
            </w:pPr>
            <w:r w:rsidRPr="00C65AE2">
              <w:rPr>
                <w:rFonts w:ascii="Arial" w:hAnsi="Arial" w:cs="Arial"/>
                <w:sz w:val="20"/>
                <w:szCs w:val="20"/>
              </w:rPr>
              <w:t>RET/ER</w:t>
            </w:r>
          </w:p>
        </w:tc>
        <w:tc>
          <w:tcPr>
            <w:tcW w:w="1433" w:type="pct"/>
          </w:tcPr>
          <w:p w:rsidR="00C65AE2" w:rsidRPr="00C65AE2" w:rsidRDefault="00C65AE2" w:rsidP="004F55C7">
            <w:pPr>
              <w:rPr>
                <w:rFonts w:ascii="Arial" w:hAnsi="Arial" w:cs="Arial"/>
                <w:sz w:val="20"/>
                <w:szCs w:val="20"/>
              </w:rPr>
            </w:pPr>
            <w:r w:rsidRPr="00C65AE2">
              <w:rPr>
                <w:rFonts w:ascii="Arial" w:hAnsi="Arial" w:cs="Arial"/>
                <w:sz w:val="20"/>
                <w:szCs w:val="20"/>
              </w:rPr>
              <w:t>(MEC + MLC) – (BEC + BLC)</w:t>
            </w:r>
          </w:p>
        </w:tc>
        <w:tc>
          <w:tcPr>
            <w:tcW w:w="1386" w:type="pct"/>
          </w:tcPr>
          <w:p w:rsidR="00C65AE2" w:rsidRPr="00C65AE2" w:rsidRDefault="00C65AE2" w:rsidP="004F55C7">
            <w:pPr>
              <w:rPr>
                <w:rFonts w:ascii="Arial" w:hAnsi="Arial" w:cs="Arial"/>
                <w:sz w:val="20"/>
                <w:szCs w:val="20"/>
              </w:rPr>
            </w:pPr>
            <w:r w:rsidRPr="00C65AE2">
              <w:rPr>
                <w:rFonts w:ascii="Arial" w:hAnsi="Arial" w:cs="Arial"/>
                <w:sz w:val="20"/>
                <w:szCs w:val="20"/>
              </w:rPr>
              <w:t>MEC + MLC</w:t>
            </w:r>
          </w:p>
        </w:tc>
        <w:tc>
          <w:tcPr>
            <w:tcW w:w="1479" w:type="pct"/>
          </w:tcPr>
          <w:p w:rsidR="00C65AE2" w:rsidRPr="00C65AE2" w:rsidRDefault="00C65AE2" w:rsidP="004F55C7">
            <w:pPr>
              <w:rPr>
                <w:rFonts w:ascii="Arial" w:hAnsi="Arial" w:cs="Arial"/>
                <w:sz w:val="20"/>
                <w:szCs w:val="20"/>
              </w:rPr>
            </w:pPr>
            <w:r w:rsidRPr="00C65AE2">
              <w:rPr>
                <w:rFonts w:ascii="Arial" w:hAnsi="Arial" w:cs="Arial"/>
                <w:sz w:val="20"/>
                <w:szCs w:val="20"/>
              </w:rPr>
              <w:t>(MEC + MLC) – (BEC + BLC)</w:t>
            </w:r>
          </w:p>
        </w:tc>
      </w:tr>
      <w:tr w:rsidR="00C65AE2" w:rsidRPr="00500C4E" w:rsidTr="00C65AE2">
        <w:tc>
          <w:tcPr>
            <w:tcW w:w="702" w:type="pct"/>
          </w:tcPr>
          <w:p w:rsidR="00C65AE2" w:rsidRPr="00C65AE2" w:rsidRDefault="00C65AE2" w:rsidP="004F55C7">
            <w:pPr>
              <w:rPr>
                <w:rFonts w:ascii="Arial" w:hAnsi="Arial" w:cs="Arial"/>
                <w:sz w:val="20"/>
                <w:szCs w:val="20"/>
              </w:rPr>
            </w:pPr>
            <w:r w:rsidRPr="00C65AE2">
              <w:rPr>
                <w:rFonts w:ascii="Arial" w:hAnsi="Arial" w:cs="Arial"/>
                <w:sz w:val="20"/>
                <w:szCs w:val="20"/>
              </w:rPr>
              <w:t>REF</w:t>
            </w:r>
          </w:p>
        </w:tc>
        <w:tc>
          <w:tcPr>
            <w:tcW w:w="1433" w:type="pct"/>
          </w:tcPr>
          <w:p w:rsidR="00C65AE2" w:rsidRPr="00C65AE2" w:rsidRDefault="00C65AE2" w:rsidP="004F55C7">
            <w:pPr>
              <w:rPr>
                <w:rFonts w:ascii="Arial" w:hAnsi="Arial" w:cs="Arial"/>
                <w:sz w:val="20"/>
                <w:szCs w:val="20"/>
              </w:rPr>
            </w:pPr>
            <w:r w:rsidRPr="00C65AE2">
              <w:rPr>
                <w:rFonts w:ascii="Arial" w:hAnsi="Arial" w:cs="Arial"/>
                <w:sz w:val="20"/>
                <w:szCs w:val="20"/>
              </w:rPr>
              <w:t>(MEC + MLC) – (BEC + BLC)</w:t>
            </w:r>
          </w:p>
        </w:tc>
        <w:tc>
          <w:tcPr>
            <w:tcW w:w="1386" w:type="pct"/>
          </w:tcPr>
          <w:p w:rsidR="00C65AE2" w:rsidRPr="00C65AE2" w:rsidRDefault="00C65AE2" w:rsidP="004F55C7">
            <w:pPr>
              <w:rPr>
                <w:rFonts w:ascii="Arial" w:hAnsi="Arial" w:cs="Arial"/>
                <w:sz w:val="20"/>
                <w:szCs w:val="20"/>
              </w:rPr>
            </w:pPr>
            <w:r w:rsidRPr="00C65AE2">
              <w:rPr>
                <w:rFonts w:ascii="Arial" w:hAnsi="Arial" w:cs="Arial"/>
                <w:sz w:val="20"/>
                <w:szCs w:val="20"/>
              </w:rPr>
              <w:t>MEC + MLC</w:t>
            </w:r>
          </w:p>
        </w:tc>
        <w:tc>
          <w:tcPr>
            <w:tcW w:w="1479" w:type="pct"/>
          </w:tcPr>
          <w:p w:rsidR="00C65AE2" w:rsidRPr="00C65AE2" w:rsidRDefault="00C65AE2" w:rsidP="004F55C7">
            <w:pPr>
              <w:rPr>
                <w:rFonts w:ascii="Arial" w:hAnsi="Arial" w:cs="Arial"/>
                <w:sz w:val="20"/>
                <w:szCs w:val="20"/>
              </w:rPr>
            </w:pPr>
            <w:r w:rsidRPr="00C65AE2">
              <w:rPr>
                <w:rFonts w:ascii="Arial" w:hAnsi="Arial" w:cs="Arial"/>
                <w:sz w:val="20"/>
                <w:szCs w:val="20"/>
              </w:rPr>
              <w:t>N/A</w:t>
            </w:r>
          </w:p>
        </w:tc>
      </w:tr>
      <w:tr w:rsidR="00C65AE2" w:rsidRPr="00500C4E" w:rsidTr="00C65AE2">
        <w:tc>
          <w:tcPr>
            <w:tcW w:w="702" w:type="pct"/>
          </w:tcPr>
          <w:p w:rsidR="00C65AE2" w:rsidRPr="00C65AE2" w:rsidRDefault="00C65AE2" w:rsidP="004F55C7">
            <w:pPr>
              <w:rPr>
                <w:rFonts w:ascii="Arial" w:hAnsi="Arial" w:cs="Arial"/>
                <w:sz w:val="20"/>
                <w:szCs w:val="20"/>
              </w:rPr>
            </w:pPr>
            <w:r w:rsidRPr="00C65AE2">
              <w:rPr>
                <w:rFonts w:ascii="Arial" w:hAnsi="Arial" w:cs="Arial"/>
                <w:sz w:val="20"/>
                <w:szCs w:val="20"/>
              </w:rPr>
              <w:t>REA</w:t>
            </w:r>
          </w:p>
        </w:tc>
        <w:tc>
          <w:tcPr>
            <w:tcW w:w="1433" w:type="pct"/>
          </w:tcPr>
          <w:p w:rsidR="00C65AE2" w:rsidRPr="00C65AE2" w:rsidRDefault="00C65AE2" w:rsidP="004F55C7">
            <w:pPr>
              <w:rPr>
                <w:rFonts w:ascii="Arial" w:hAnsi="Arial" w:cs="Arial"/>
                <w:sz w:val="20"/>
                <w:szCs w:val="20"/>
              </w:rPr>
            </w:pPr>
            <w:r w:rsidRPr="00C65AE2">
              <w:rPr>
                <w:rFonts w:ascii="Arial" w:hAnsi="Arial" w:cs="Arial"/>
                <w:sz w:val="20"/>
                <w:szCs w:val="20"/>
              </w:rPr>
              <w:t>MEC + MLC</w:t>
            </w:r>
          </w:p>
        </w:tc>
        <w:tc>
          <w:tcPr>
            <w:tcW w:w="1386" w:type="pct"/>
          </w:tcPr>
          <w:p w:rsidR="00C65AE2" w:rsidRPr="00C65AE2" w:rsidRDefault="00C65AE2" w:rsidP="004F55C7">
            <w:pPr>
              <w:rPr>
                <w:rFonts w:ascii="Arial" w:hAnsi="Arial" w:cs="Arial"/>
                <w:sz w:val="20"/>
                <w:szCs w:val="20"/>
              </w:rPr>
            </w:pPr>
            <w:r w:rsidRPr="00C65AE2">
              <w:rPr>
                <w:rFonts w:ascii="Arial" w:hAnsi="Arial" w:cs="Arial"/>
                <w:sz w:val="20"/>
                <w:szCs w:val="20"/>
              </w:rPr>
              <w:t>MEC + MLC</w:t>
            </w:r>
          </w:p>
        </w:tc>
        <w:tc>
          <w:tcPr>
            <w:tcW w:w="1479" w:type="pct"/>
          </w:tcPr>
          <w:p w:rsidR="00C65AE2" w:rsidRPr="00C65AE2" w:rsidRDefault="00C65AE2" w:rsidP="004F55C7">
            <w:pPr>
              <w:rPr>
                <w:rFonts w:ascii="Arial" w:hAnsi="Arial" w:cs="Arial"/>
                <w:sz w:val="20"/>
                <w:szCs w:val="20"/>
              </w:rPr>
            </w:pPr>
            <w:r w:rsidRPr="00C65AE2">
              <w:rPr>
                <w:rFonts w:ascii="Arial" w:hAnsi="Arial" w:cs="Arial"/>
                <w:sz w:val="20"/>
                <w:szCs w:val="20"/>
              </w:rPr>
              <w:t>N/A</w:t>
            </w:r>
          </w:p>
        </w:tc>
      </w:tr>
    </w:tbl>
    <w:p w:rsidR="00C65AE2" w:rsidRPr="00920905" w:rsidRDefault="00C65AE2" w:rsidP="00C65AE2">
      <w:pPr>
        <w:rPr>
          <w:sz w:val="20"/>
          <w:szCs w:val="20"/>
        </w:rPr>
      </w:pPr>
      <w:r w:rsidRPr="00920905">
        <w:rPr>
          <w:sz w:val="20"/>
          <w:szCs w:val="20"/>
        </w:rPr>
        <w:t>MEC = Measure Equipment Cost; MLC = Measure Labor Cost</w:t>
      </w:r>
    </w:p>
    <w:p w:rsidR="00C65AE2" w:rsidRDefault="00C65AE2" w:rsidP="00C65AE2">
      <w:r w:rsidRPr="00920905">
        <w:rPr>
          <w:sz w:val="20"/>
          <w:szCs w:val="20"/>
        </w:rPr>
        <w:t>BEC = Base Case Equipment Cost; BLC = Base Case Labor Cost</w:t>
      </w:r>
    </w:p>
    <w:p w:rsidR="00FA16B6" w:rsidRPr="007732F4" w:rsidRDefault="00FA16B6" w:rsidP="00FA16B6"/>
    <w:p w:rsidR="00C65AE2" w:rsidRPr="00C65AE2" w:rsidRDefault="00535A75" w:rsidP="00C65AE2">
      <w:pPr>
        <w:sectPr w:rsidR="00C65AE2" w:rsidRPr="00C65AE2" w:rsidSect="001E474C">
          <w:endnotePr>
            <w:numFmt w:val="decimal"/>
          </w:endnotePr>
          <w:pgSz w:w="12240" w:h="15840"/>
          <w:pgMar w:top="1440" w:right="1440" w:bottom="1440" w:left="1440" w:header="720" w:footer="720" w:gutter="0"/>
          <w:pgNumType w:start="1"/>
          <w:cols w:space="720"/>
          <w:docGrid w:linePitch="360"/>
        </w:sectPr>
      </w:pPr>
      <w:r w:rsidRPr="007732F4">
        <w:t>Fo</w:t>
      </w:r>
      <w:r w:rsidR="00FA16B6" w:rsidRPr="007732F4">
        <w:t xml:space="preserve">r the complete list of incremental </w:t>
      </w:r>
      <w:r w:rsidR="00C65AE2">
        <w:t xml:space="preserve">and full </w:t>
      </w:r>
      <w:r w:rsidR="00FA16B6" w:rsidRPr="007732F4">
        <w:t>measure costs</w:t>
      </w:r>
      <w:r w:rsidRPr="007732F4">
        <w:t>, see the calculation spreadsheet</w:t>
      </w:r>
      <w:r w:rsidR="00F4488F" w:rsidRPr="007732F4">
        <w:t xml:space="preserve"> that accompanies this report.</w:t>
      </w:r>
      <w:bookmarkStart w:id="61" w:name="_GoBack"/>
      <w:bookmarkEnd w:id="61"/>
    </w:p>
    <w:p w:rsidR="000B0167" w:rsidRPr="008A1DA4" w:rsidRDefault="00A47FE3">
      <w:pPr>
        <w:pStyle w:val="Heading1"/>
      </w:pPr>
      <w:bookmarkStart w:id="62" w:name="_Toc438469106"/>
      <w:r w:rsidRPr="008A1DA4">
        <w:lastRenderedPageBreak/>
        <w:t>References</w:t>
      </w:r>
      <w:bookmarkEnd w:id="62"/>
    </w:p>
    <w:sectPr w:rsidR="000B0167" w:rsidRPr="008A1DA4" w:rsidSect="000B469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FEC" w:rsidRPr="002E217D" w:rsidRDefault="00E06FEC" w:rsidP="002E217D">
      <w:pPr>
        <w:pStyle w:val="Footer"/>
      </w:pPr>
    </w:p>
  </w:endnote>
  <w:endnote w:type="continuationSeparator" w:id="0">
    <w:p w:rsidR="00E06FEC" w:rsidRPr="002E217D" w:rsidRDefault="00E06FEC" w:rsidP="002E217D">
      <w:pPr>
        <w:pStyle w:val="Footer"/>
      </w:pPr>
    </w:p>
  </w:endnote>
  <w:endnote w:type="continuationNotice" w:id="1">
    <w:p w:rsidR="00E06FEC" w:rsidRDefault="00E06FEC"/>
  </w:endnote>
  <w:endnote w:id="2">
    <w:p w:rsidR="00C42F61" w:rsidRDefault="00C42F61" w:rsidP="003C1EBD">
      <w:pPr>
        <w:pStyle w:val="EndnoteText"/>
      </w:pPr>
      <w:r>
        <w:rPr>
          <w:rStyle w:val="EndnoteReference"/>
        </w:rPr>
        <w:endnoteRef/>
      </w:r>
      <w:r>
        <w:t xml:space="preserve"> </w:t>
      </w:r>
      <w:proofErr w:type="spellStart"/>
      <w:r>
        <w:t>DesignLights</w:t>
      </w:r>
      <w:proofErr w:type="spellEnd"/>
      <w:r>
        <w:t xml:space="preserve"> Consortium. </w:t>
      </w:r>
      <w:proofErr w:type="gramStart"/>
      <w:r w:rsidRPr="0091572F">
        <w:rPr>
          <w:i/>
        </w:rPr>
        <w:t>Qualified Products List.</w:t>
      </w:r>
      <w:proofErr w:type="gramEnd"/>
      <w:r>
        <w:t xml:space="preserve"> NEEPDLCQPL.xls http://www.designlights.org/solidstate.about.QualifiedProductsList_Publicv2.php</w:t>
      </w:r>
    </w:p>
    <w:p w:rsidR="00C42F61" w:rsidRDefault="00C42F61" w:rsidP="003C1EBD">
      <w:pPr>
        <w:pStyle w:val="EndnoteText"/>
      </w:pPr>
    </w:p>
  </w:endnote>
  <w:endnote w:id="3">
    <w:p w:rsidR="00C42F61" w:rsidRDefault="00C42F61">
      <w:pPr>
        <w:pStyle w:val="EndnoteText"/>
      </w:pPr>
      <w:r>
        <w:rPr>
          <w:rStyle w:val="EndnoteReference"/>
        </w:rPr>
        <w:endnoteRef/>
      </w:r>
      <w:r>
        <w:t xml:space="preserve"> </w:t>
      </w:r>
      <w:proofErr w:type="spellStart"/>
      <w:r>
        <w:t>DesignLights</w:t>
      </w:r>
      <w:proofErr w:type="spellEnd"/>
      <w:r>
        <w:t xml:space="preserve"> Consortium. </w:t>
      </w:r>
      <w:proofErr w:type="gramStart"/>
      <w:r w:rsidRPr="00672E82">
        <w:rPr>
          <w:i/>
        </w:rPr>
        <w:t>Technical Requirements Table v1.6.</w:t>
      </w:r>
      <w:proofErr w:type="gramEnd"/>
      <w:r>
        <w:t xml:space="preserve"> </w:t>
      </w:r>
      <w:r w:rsidRPr="00672E82">
        <w:t>http://www.designlights.org/solidstate.manufacturer.requirements.php</w:t>
      </w:r>
    </w:p>
    <w:p w:rsidR="00C42F61" w:rsidRDefault="00C42F61" w:rsidP="003B2C14">
      <w:pPr>
        <w:pStyle w:val="EndnoteText"/>
      </w:pPr>
      <w:r w:rsidRPr="003B2C14">
        <w:rPr>
          <w:i/>
        </w:rPr>
        <w:t>Note</w:t>
      </w:r>
      <w:r>
        <w:rPr>
          <w:i/>
        </w:rPr>
        <w:t>.</w:t>
      </w:r>
      <w:r>
        <w:t xml:space="preserve"> The IES holds a contrary view: “</w:t>
      </w:r>
      <w:r w:rsidRPr="003B2C14">
        <w:t>There should be no minimum performance limits set on light sources and luminaires</w:t>
      </w:r>
      <w:r>
        <w:t>,</w:t>
      </w:r>
      <w:r w:rsidRPr="003B2C14">
        <w:t xml:space="preserve"> but correct measures in design and control should be utilized instead.</w:t>
      </w:r>
      <w:r>
        <w:t xml:space="preserve"> </w:t>
      </w:r>
      <w:r w:rsidRPr="003B2C14">
        <w:t>The use of a lumen per watt rating for luminaires is not endorsed by the IES and does not necessarily achieve the goals of energy reduction while maintaining a high quality lighted environment</w:t>
      </w:r>
      <w:r>
        <w:t>.</w:t>
      </w:r>
      <w:r w:rsidRPr="003B2C14">
        <w:t xml:space="preserve"> The use of an energy standard to control lighting system efficiency is far more effective and will allow a designer to implement the requirements of the design without limitations on technology.</w:t>
      </w:r>
      <w:r>
        <w:t xml:space="preserve">” </w:t>
      </w:r>
      <w:proofErr w:type="gramStart"/>
      <w:r w:rsidRPr="003B2C14">
        <w:t>Illuminating Engineering Society</w:t>
      </w:r>
      <w:r>
        <w:t>.</w:t>
      </w:r>
      <w:proofErr w:type="gramEnd"/>
      <w:r>
        <w:t xml:space="preserve"> </w:t>
      </w:r>
      <w:proofErr w:type="gramStart"/>
      <w:r w:rsidRPr="003B2C14">
        <w:rPr>
          <w:i/>
        </w:rPr>
        <w:t>Standards for Energy Efficient Outdoor Lighting.</w:t>
      </w:r>
      <w:proofErr w:type="gramEnd"/>
      <w:r>
        <w:t xml:space="preserve"> </w:t>
      </w:r>
      <w:proofErr w:type="gramStart"/>
      <w:r>
        <w:t>PS-4-10.</w:t>
      </w:r>
      <w:proofErr w:type="gramEnd"/>
      <w:r>
        <w:t xml:space="preserve"> 2010. </w:t>
      </w:r>
      <w:r w:rsidRPr="003B2C14">
        <w:t>http://www.ies.org/PDF/PositionStatements/PS-04-10.pdf</w:t>
      </w:r>
    </w:p>
    <w:p w:rsidR="00C42F61" w:rsidRDefault="00C42F61">
      <w:pPr>
        <w:pStyle w:val="EndnoteText"/>
      </w:pPr>
    </w:p>
  </w:endnote>
  <w:endnote w:id="4">
    <w:p w:rsidR="00C42F61" w:rsidRDefault="00C42F61">
      <w:pPr>
        <w:pStyle w:val="EndnoteText"/>
      </w:pPr>
      <w:r>
        <w:rPr>
          <w:rStyle w:val="EndnoteReference"/>
        </w:rPr>
        <w:endnoteRef/>
      </w:r>
      <w:r>
        <w:t xml:space="preserve"> </w:t>
      </w:r>
      <w:proofErr w:type="gramStart"/>
      <w:r w:rsidRPr="00474B71">
        <w:t>DOE Solid-State Lighting CALiPER Program.</w:t>
      </w:r>
      <w:proofErr w:type="gramEnd"/>
      <w:r w:rsidRPr="00474B71">
        <w:t xml:space="preserve"> </w:t>
      </w:r>
      <w:r w:rsidRPr="00474B71">
        <w:rPr>
          <w:i/>
        </w:rPr>
        <w:t>Application Summary Report 15</w:t>
      </w:r>
      <w:r w:rsidRPr="00474B71">
        <w:t xml:space="preserve"> (May 2012)—LED floodlights. http://www1.eere.energy.gov/buildings/ssl/reports.html</w:t>
      </w:r>
    </w:p>
    <w:p w:rsidR="00C42F61" w:rsidRDefault="00C42F61">
      <w:pPr>
        <w:pStyle w:val="EndnoteText"/>
      </w:pPr>
    </w:p>
  </w:endnote>
  <w:endnote w:id="5">
    <w:p w:rsidR="00C42F61" w:rsidRPr="00872618" w:rsidRDefault="00C42F61" w:rsidP="00A228FA">
      <w:pPr>
        <w:pStyle w:val="EndnoteText"/>
        <w:ind w:left="187" w:hanging="187"/>
      </w:pPr>
      <w:r w:rsidRPr="00872618">
        <w:rPr>
          <w:rStyle w:val="EndnoteReference"/>
        </w:rPr>
        <w:endnoteRef/>
      </w:r>
      <w:r w:rsidRPr="00872618">
        <w:t xml:space="preserve"> </w:t>
      </w:r>
      <w:proofErr w:type="gramStart"/>
      <w:r w:rsidRPr="00872618">
        <w:t>DOE GATEWAY Demonstrations.</w:t>
      </w:r>
      <w:proofErr w:type="gramEnd"/>
      <w:r w:rsidRPr="00872618">
        <w:t xml:space="preserve"> http://www1.eere.energy.gov/buildings/ssl/gatewaydemos_results.html</w:t>
      </w:r>
    </w:p>
    <w:p w:rsidR="00C42F61" w:rsidRPr="00872618" w:rsidRDefault="00C42F61" w:rsidP="00A228FA">
      <w:pPr>
        <w:pStyle w:val="EndnoteText"/>
        <w:ind w:left="187" w:hanging="187"/>
      </w:pPr>
      <w:r w:rsidRPr="00872618">
        <w:rPr>
          <w:i/>
        </w:rPr>
        <w:t>Demonstration Assessment of LED Roadway Lighting: New York, New York</w:t>
      </w:r>
      <w:r w:rsidRPr="00872618">
        <w:t xml:space="preserve"> (December 2011)</w:t>
      </w:r>
    </w:p>
    <w:p w:rsidR="00C42F61" w:rsidRPr="00872618" w:rsidRDefault="00C42F61" w:rsidP="00A228FA">
      <w:pPr>
        <w:pStyle w:val="EndnoteText"/>
        <w:ind w:left="187" w:hanging="187"/>
      </w:pPr>
      <w:r w:rsidRPr="00872618">
        <w:rPr>
          <w:i/>
        </w:rPr>
        <w:t>Demonstration Assessment of LED Ornamental Post-Top Street Lights: Sacramento, California</w:t>
      </w:r>
      <w:r w:rsidRPr="00872618">
        <w:t xml:space="preserve"> (December 2011)</w:t>
      </w:r>
    </w:p>
    <w:p w:rsidR="00C42F61" w:rsidRPr="00872618" w:rsidRDefault="00C42F61" w:rsidP="00A228FA">
      <w:pPr>
        <w:pStyle w:val="EndnoteText"/>
        <w:ind w:left="187" w:hanging="187"/>
      </w:pPr>
      <w:r w:rsidRPr="00872618">
        <w:rPr>
          <w:i/>
        </w:rPr>
        <w:t>Demonstration Assessment of LED Parking Lot Lighting: Leavenworth, Kansas</w:t>
      </w:r>
      <w:r w:rsidRPr="00872618">
        <w:t xml:space="preserve"> (May 2011)</w:t>
      </w:r>
    </w:p>
    <w:p w:rsidR="00C42F61" w:rsidRPr="00872618" w:rsidRDefault="00C42F61" w:rsidP="00A228FA">
      <w:pPr>
        <w:pStyle w:val="EndnoteText"/>
        <w:ind w:left="187" w:hanging="187"/>
      </w:pPr>
      <w:r w:rsidRPr="00872618">
        <w:rPr>
          <w:i/>
        </w:rPr>
        <w:t>Demonstration Assessment of LED Parking Lot Lighting: Manchester, New Hampshire</w:t>
      </w:r>
      <w:r w:rsidRPr="00872618">
        <w:t xml:space="preserve"> (June 2010)</w:t>
      </w:r>
    </w:p>
    <w:p w:rsidR="00C42F61" w:rsidRPr="00872618" w:rsidRDefault="00C42F61" w:rsidP="00A228FA">
      <w:pPr>
        <w:pStyle w:val="EndnoteText"/>
        <w:ind w:left="187" w:hanging="187"/>
      </w:pPr>
      <w:r w:rsidRPr="00872618">
        <w:rPr>
          <w:i/>
        </w:rPr>
        <w:t>Demonstration Assessment of LED Roadway Lighting: Palo Alto, California</w:t>
      </w:r>
      <w:r w:rsidRPr="00872618">
        <w:t xml:space="preserve"> (June 2010)</w:t>
      </w:r>
    </w:p>
    <w:p w:rsidR="00C42F61" w:rsidRPr="00872618" w:rsidRDefault="00C42F61" w:rsidP="00A228FA">
      <w:pPr>
        <w:pStyle w:val="EndnoteText"/>
        <w:ind w:left="187" w:hanging="187"/>
      </w:pPr>
      <w:r w:rsidRPr="00872618">
        <w:rPr>
          <w:i/>
        </w:rPr>
        <w:t xml:space="preserve">Demonstration Assessment of LED Street Lighting: </w:t>
      </w:r>
      <w:proofErr w:type="spellStart"/>
      <w:r w:rsidRPr="00872618">
        <w:rPr>
          <w:i/>
        </w:rPr>
        <w:t>Lija</w:t>
      </w:r>
      <w:proofErr w:type="spellEnd"/>
      <w:r w:rsidRPr="00872618">
        <w:rPr>
          <w:i/>
        </w:rPr>
        <w:t xml:space="preserve"> Loop, Portland</w:t>
      </w:r>
      <w:r>
        <w:rPr>
          <w:i/>
        </w:rPr>
        <w:t>, Oregon</w:t>
      </w:r>
      <w:r w:rsidRPr="00872618">
        <w:t xml:space="preserve"> (November 2009)</w:t>
      </w:r>
    </w:p>
    <w:p w:rsidR="00C42F61" w:rsidRPr="00872618" w:rsidRDefault="00C42F61" w:rsidP="00A228FA">
      <w:pPr>
        <w:pStyle w:val="EndnoteText"/>
        <w:ind w:left="187" w:hanging="187"/>
      </w:pPr>
      <w:r w:rsidRPr="00872618">
        <w:rPr>
          <w:i/>
        </w:rPr>
        <w:t>Demonstration Assessment of LED Roadway Lighting: I-35W Bridge, Minneapolis, Minnesota</w:t>
      </w:r>
      <w:r w:rsidRPr="00872618">
        <w:t xml:space="preserve"> (August 2009)</w:t>
      </w:r>
    </w:p>
    <w:p w:rsidR="00C42F61" w:rsidRPr="00872618" w:rsidRDefault="00C42F61" w:rsidP="00A228FA">
      <w:pPr>
        <w:pStyle w:val="EndnoteText"/>
        <w:ind w:left="187" w:hanging="187"/>
      </w:pPr>
      <w:r w:rsidRPr="00872618">
        <w:rPr>
          <w:i/>
        </w:rPr>
        <w:t xml:space="preserve">Demonstration Assessment of LED Parking Lot Lighting: </w:t>
      </w:r>
      <w:proofErr w:type="spellStart"/>
      <w:r w:rsidRPr="00872618">
        <w:rPr>
          <w:i/>
        </w:rPr>
        <w:t>Raley’s</w:t>
      </w:r>
      <w:proofErr w:type="spellEnd"/>
      <w:r w:rsidRPr="00872618">
        <w:rPr>
          <w:i/>
        </w:rPr>
        <w:t xml:space="preserve"> Supermarket, West Sacramento, California</w:t>
      </w:r>
      <w:r w:rsidRPr="00872618">
        <w:t xml:space="preserve"> (February 2009)</w:t>
      </w:r>
    </w:p>
    <w:p w:rsidR="00C42F61" w:rsidRPr="00872618" w:rsidRDefault="00C42F61" w:rsidP="00A228FA">
      <w:pPr>
        <w:pStyle w:val="EndnoteText"/>
        <w:ind w:left="187" w:hanging="187"/>
      </w:pPr>
      <w:r w:rsidRPr="00872618">
        <w:rPr>
          <w:i/>
        </w:rPr>
        <w:t>Demonstration Assessment of LED Street Lighting: City of San Francisco, California</w:t>
      </w:r>
      <w:r w:rsidRPr="00872618">
        <w:t xml:space="preserve"> (December 2008)</w:t>
      </w:r>
    </w:p>
    <w:p w:rsidR="00C42F61" w:rsidRPr="00872618" w:rsidRDefault="00C42F61" w:rsidP="00A228FA">
      <w:pPr>
        <w:pStyle w:val="EndnoteText"/>
        <w:ind w:left="187" w:hanging="187"/>
      </w:pPr>
      <w:r w:rsidRPr="00872618">
        <w:rPr>
          <w:i/>
        </w:rPr>
        <w:t>Demonstration Assessment of LED Walkway Lighting: Federal Aviation Administration (FAA) Technical Center, Atlantic City, New Jersey</w:t>
      </w:r>
      <w:r w:rsidRPr="00872618">
        <w:t xml:space="preserve"> (March 2008)</w:t>
      </w:r>
    </w:p>
    <w:p w:rsidR="00C42F61" w:rsidRDefault="00C42F61" w:rsidP="00A228FA">
      <w:pPr>
        <w:pStyle w:val="EndnoteText"/>
        <w:ind w:left="187" w:hanging="187"/>
      </w:pPr>
      <w:r w:rsidRPr="00872618">
        <w:rPr>
          <w:i/>
        </w:rPr>
        <w:t xml:space="preserve">Demonstration Assessment of LED </w:t>
      </w:r>
      <w:r>
        <w:rPr>
          <w:i/>
        </w:rPr>
        <w:t>Area Lights for a Commercial Garage</w:t>
      </w:r>
      <w:r w:rsidRPr="00872618">
        <w:rPr>
          <w:i/>
        </w:rPr>
        <w:t xml:space="preserve">: </w:t>
      </w:r>
      <w:r>
        <w:rPr>
          <w:i/>
        </w:rPr>
        <w:t>Portland, Oregon.</w:t>
      </w:r>
      <w:r w:rsidRPr="00872618">
        <w:t xml:space="preserve"> (</w:t>
      </w:r>
      <w:r>
        <w:t>November 2008</w:t>
      </w:r>
      <w:r w:rsidRPr="00872618">
        <w:t>)</w:t>
      </w:r>
    </w:p>
    <w:p w:rsidR="00C42F61" w:rsidRDefault="00C42F61" w:rsidP="00A228FA">
      <w:pPr>
        <w:pStyle w:val="EndnoteText"/>
        <w:ind w:left="187" w:hanging="187"/>
      </w:pPr>
      <w:r w:rsidRPr="00872618">
        <w:rPr>
          <w:i/>
        </w:rPr>
        <w:t>Demonstration Assessment of LED Street Lighting: City of Oakland, California</w:t>
      </w:r>
      <w:r w:rsidRPr="00872618">
        <w:t xml:space="preserve"> (Phase</w:t>
      </w:r>
      <w:r>
        <w:t> </w:t>
      </w:r>
      <w:r w:rsidRPr="00872618">
        <w:t>II, January 2008</w:t>
      </w:r>
      <w:r>
        <w:t xml:space="preserve">; </w:t>
      </w:r>
      <w:r w:rsidRPr="00872618">
        <w:t>Phase III,</w:t>
      </w:r>
      <w:r>
        <w:t xml:space="preserve"> November 2008</w:t>
      </w:r>
      <w:r w:rsidRPr="00872618">
        <w:t>)</w:t>
      </w:r>
    </w:p>
    <w:p w:rsidR="00C42F61" w:rsidRDefault="00C42F61" w:rsidP="00A228FA">
      <w:pPr>
        <w:pStyle w:val="EndnoteText"/>
      </w:pPr>
    </w:p>
  </w:endnote>
  <w:endnote w:id="6">
    <w:p w:rsidR="00C42F61" w:rsidRDefault="00C42F61" w:rsidP="00A14653">
      <w:pPr>
        <w:pStyle w:val="EndnoteText"/>
      </w:pPr>
      <w:r>
        <w:rPr>
          <w:rStyle w:val="EndnoteReference"/>
        </w:rPr>
        <w:endnoteRef/>
      </w:r>
      <w:r>
        <w:t xml:space="preserve"> </w:t>
      </w:r>
      <w:proofErr w:type="gramStart"/>
      <w:r>
        <w:t>Federal Energy Management Program.</w:t>
      </w:r>
      <w:proofErr w:type="gramEnd"/>
      <w:r>
        <w:t xml:space="preserve"> </w:t>
      </w:r>
      <w:r w:rsidRPr="00A228FA">
        <w:rPr>
          <w:i/>
        </w:rPr>
        <w:t>LED Provides Effective and Efficient Parking Area Lighting at the N</w:t>
      </w:r>
      <w:r>
        <w:rPr>
          <w:i/>
        </w:rPr>
        <w:t>AVFAC Engineering Service Center (</w:t>
      </w:r>
      <w:r w:rsidRPr="00A228FA">
        <w:rPr>
          <w:i/>
        </w:rPr>
        <w:t>Port Hueneme,</w:t>
      </w:r>
      <w:r>
        <w:rPr>
          <w:i/>
        </w:rPr>
        <w:t xml:space="preserve"> </w:t>
      </w:r>
      <w:r w:rsidRPr="00A228FA">
        <w:rPr>
          <w:i/>
        </w:rPr>
        <w:t>Calif</w:t>
      </w:r>
      <w:r>
        <w:rPr>
          <w:i/>
        </w:rPr>
        <w:t>ornia)</w:t>
      </w:r>
      <w:r w:rsidRPr="00A228FA">
        <w:rPr>
          <w:i/>
        </w:rPr>
        <w:t>.</w:t>
      </w:r>
      <w:r>
        <w:t xml:space="preserve"> August 2010. </w:t>
      </w:r>
      <w:r w:rsidRPr="00A228FA">
        <w:t>http://www1.eere.energy.gov/femp/technologies/ssl_casestudies.html</w:t>
      </w:r>
    </w:p>
    <w:p w:rsidR="00C42F61" w:rsidRDefault="00C42F61" w:rsidP="00A228FA">
      <w:pPr>
        <w:pStyle w:val="EndnoteText"/>
      </w:pPr>
    </w:p>
  </w:endnote>
  <w:endnote w:id="7">
    <w:p w:rsidR="00C42F61" w:rsidRDefault="00C42F61">
      <w:pPr>
        <w:pStyle w:val="EndnoteText"/>
      </w:pPr>
      <w:r>
        <w:rPr>
          <w:rStyle w:val="EndnoteReference"/>
        </w:rPr>
        <w:endnoteRef/>
      </w:r>
      <w:r>
        <w:t xml:space="preserve"> </w:t>
      </w:r>
      <w:proofErr w:type="gramStart"/>
      <w:r w:rsidRPr="00F054C6">
        <w:t>Remaking Cities Institute, Carnegie Mellon University.</w:t>
      </w:r>
      <w:proofErr w:type="gramEnd"/>
      <w:r w:rsidRPr="00F054C6">
        <w:t xml:space="preserve"> </w:t>
      </w:r>
      <w:r w:rsidRPr="00F054C6">
        <w:rPr>
          <w:i/>
        </w:rPr>
        <w:t>LED Street Light Research Project: Pittsburgh, Pennsylvania.</w:t>
      </w:r>
      <w:r w:rsidRPr="00F054C6">
        <w:t xml:space="preserve"> September 2011. http://www.cmu.edu/rci/publications/index.html</w:t>
      </w:r>
    </w:p>
    <w:p w:rsidR="00C42F61" w:rsidRDefault="00C42F61">
      <w:pPr>
        <w:pStyle w:val="EndnoteText"/>
      </w:pPr>
    </w:p>
  </w:endnote>
  <w:endnote w:id="8">
    <w:p w:rsidR="00C42F61" w:rsidRDefault="00C42F61" w:rsidP="00427664">
      <w:pPr>
        <w:pStyle w:val="EndnoteText"/>
      </w:pPr>
      <w:r>
        <w:rPr>
          <w:rStyle w:val="EndnoteReference"/>
        </w:rPr>
        <w:endnoteRef/>
      </w:r>
      <w:r>
        <w:t xml:space="preserve"> For information on light levels and streetlight spacing, see National Lighting Product Information Program, Lighting Research Center, Rensselaer Polytechnic Institute. </w:t>
      </w:r>
      <w:proofErr w:type="gramStart"/>
      <w:r w:rsidRPr="00427664">
        <w:rPr>
          <w:i/>
        </w:rPr>
        <w:t>Streetlights for Collector Roads.</w:t>
      </w:r>
      <w:proofErr w:type="gramEnd"/>
      <w:r>
        <w:t xml:space="preserve"> Revision 2, November 2010. http://www.lrc.rpi.edu/nlpip/publicationDetails.asp?id=927&amp;type=1</w:t>
      </w:r>
    </w:p>
    <w:p w:rsidR="00C42F61" w:rsidRDefault="00C42F61" w:rsidP="00427664">
      <w:pPr>
        <w:pStyle w:val="EndnoteText"/>
      </w:pPr>
    </w:p>
  </w:endnote>
  <w:endnote w:id="9">
    <w:p w:rsidR="00C42F61" w:rsidRDefault="00C42F61" w:rsidP="000C5B86">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10">
    <w:p w:rsidR="00C42F61" w:rsidRDefault="00C42F61">
      <w:pPr>
        <w:pStyle w:val="EndnoteText"/>
      </w:pPr>
    </w:p>
    <w:p w:rsidR="00C42F61" w:rsidRDefault="00C42F61">
      <w:pPr>
        <w:pStyle w:val="EndnoteText"/>
      </w:pPr>
      <w:r>
        <w:rPr>
          <w:rStyle w:val="EndnoteReference"/>
        </w:rPr>
        <w:endnoteRef/>
      </w:r>
      <w:r>
        <w:t xml:space="preserve"> </w:t>
      </w:r>
      <w:r>
        <w:rPr>
          <w:rFonts w:cs="Arial"/>
        </w:rPr>
        <w:t xml:space="preserve">Net to Gross Value Update found on </w:t>
      </w:r>
      <w:hyperlink r:id="rId2" w:history="1">
        <w:r w:rsidRPr="005376F2">
          <w:rPr>
            <w:rStyle w:val="Hyperlink"/>
            <w:rFonts w:cs="Arial"/>
          </w:rPr>
          <w:t>www.deeresources.com</w:t>
        </w:r>
      </w:hyperlink>
      <w:r>
        <w:rPr>
          <w:rFonts w:cs="Arial"/>
        </w:rPr>
        <w:t xml:space="preserve"> under </w:t>
      </w:r>
      <w:r w:rsidRPr="003541A6">
        <w:rPr>
          <w:rFonts w:cs="Arial"/>
          <w:i/>
        </w:rPr>
        <w:t>DEER201</w:t>
      </w:r>
      <w:r>
        <w:rPr>
          <w:rFonts w:cs="Arial"/>
          <w:i/>
        </w:rPr>
        <w:t>6</w:t>
      </w:r>
      <w:r w:rsidRPr="003541A6">
        <w:rPr>
          <w:rFonts w:cs="Arial"/>
          <w:i/>
        </w:rPr>
        <w:t xml:space="preserve"> </w:t>
      </w:r>
      <w:r>
        <w:rPr>
          <w:rFonts w:cs="Arial"/>
          <w:i/>
        </w:rPr>
        <w:t xml:space="preserve">DEER Team Recommended Updates </w:t>
      </w:r>
      <w:r>
        <w:rPr>
          <w:rFonts w:cs="Arial"/>
        </w:rPr>
        <w:t xml:space="preserve">hyperlink, spreadsheet </w:t>
      </w:r>
      <w:r w:rsidRPr="00563E98">
        <w:rPr>
          <w:rFonts w:cs="Arial"/>
          <w:i/>
        </w:rPr>
        <w:t>DEER2015-2016-NTG-Update-2015-06-03</w:t>
      </w:r>
      <w:r w:rsidRPr="003541A6">
        <w:rPr>
          <w:rFonts w:cs="Arial"/>
          <w:i/>
        </w:rPr>
        <w:t>.xls</w:t>
      </w:r>
      <w:r>
        <w:rPr>
          <w:rFonts w:cs="Arial"/>
          <w:i/>
        </w:rPr>
        <w:t>.</w:t>
      </w:r>
    </w:p>
  </w:endnote>
  <w:endnote w:id="11">
    <w:p w:rsidR="00C42F61" w:rsidRDefault="00C42F61" w:rsidP="00AA4084">
      <w:pPr>
        <w:pStyle w:val="EndnoteText"/>
      </w:pPr>
    </w:p>
    <w:p w:rsidR="00C42F61" w:rsidRDefault="00C42F61" w:rsidP="00AA4084">
      <w:pPr>
        <w:pStyle w:val="EndnoteText"/>
      </w:pPr>
      <w:r>
        <w:rPr>
          <w:rStyle w:val="EndnoteReference"/>
        </w:rPr>
        <w:endnoteRef/>
      </w:r>
      <w:r>
        <w:t xml:space="preserve"> </w:t>
      </w:r>
      <w:proofErr w:type="gramStart"/>
      <w:r w:rsidRPr="00930C2C">
        <w:t>DOE Solid-State Lighting CALiPER Program.</w:t>
      </w:r>
      <w:proofErr w:type="gramEnd"/>
      <w:r w:rsidRPr="00930C2C">
        <w:t xml:space="preserve"> </w:t>
      </w:r>
      <w:r w:rsidRPr="002800F7">
        <w:rPr>
          <w:i/>
        </w:rPr>
        <w:t>Round 11 Summary Report</w:t>
      </w:r>
      <w:r w:rsidRPr="002800F7">
        <w:t xml:space="preserve"> (October 2010)—includes roadway arm-mount and post-top luminaires</w:t>
      </w:r>
      <w:r w:rsidRPr="00930C2C">
        <w:t>. http://www1.eere.energy.gov/buildings/ssl/reports.html</w:t>
      </w:r>
    </w:p>
    <w:p w:rsidR="00C42F61" w:rsidRDefault="00C42F61" w:rsidP="00AA4084">
      <w:pPr>
        <w:pStyle w:val="EndnoteText"/>
      </w:pPr>
      <w:r w:rsidRPr="00464D46">
        <w:t xml:space="preserve">Detailed reports for </w:t>
      </w:r>
      <w:r>
        <w:t>36 LED light sources for outdoor applications</w:t>
      </w:r>
      <w:r w:rsidRPr="00464D46">
        <w:t xml:space="preserve"> (as of June 15, 2012) are available at http://www1.eere.energy.gov/buildings/ssl/caliper/default.aspx</w:t>
      </w:r>
    </w:p>
    <w:p w:rsidR="00C42F61" w:rsidRDefault="00C42F61" w:rsidP="00AA4084">
      <w:pPr>
        <w:pStyle w:val="EndnoteText"/>
      </w:pPr>
    </w:p>
  </w:endnote>
  <w:endnote w:id="12">
    <w:p w:rsidR="00C42F61" w:rsidRDefault="00C42F61" w:rsidP="00512282">
      <w:pPr>
        <w:pStyle w:val="EndnoteText"/>
      </w:pPr>
      <w:r>
        <w:rPr>
          <w:rStyle w:val="EndnoteReference"/>
        </w:rPr>
        <w:endnoteRef/>
      </w:r>
      <w:r>
        <w:t xml:space="preserve"> </w:t>
      </w:r>
      <w:proofErr w:type="gramStart"/>
      <w:r w:rsidRPr="00872618">
        <w:t>DOE GATEWAY Demonstrations.</w:t>
      </w:r>
      <w:proofErr w:type="gramEnd"/>
      <w:r>
        <w:t xml:space="preserve"> </w:t>
      </w:r>
      <w:r w:rsidRPr="00872618">
        <w:rPr>
          <w:i/>
        </w:rPr>
        <w:t>Demonstration Assessment of LED Street Lighting: City of Oakland, California</w:t>
      </w:r>
      <w:r w:rsidRPr="00872618">
        <w:t xml:space="preserve"> (</w:t>
      </w:r>
      <w:r>
        <w:t>2008</w:t>
      </w:r>
      <w:r w:rsidRPr="00872618">
        <w:t>)</w:t>
      </w:r>
      <w:r>
        <w:t xml:space="preserve">. </w:t>
      </w:r>
      <w:r w:rsidRPr="00872618">
        <w:t>http://www1.eere.energy.gov/buildings/ssl/gatewaydemos_results.html</w:t>
      </w:r>
    </w:p>
    <w:p w:rsidR="00C42F61" w:rsidRDefault="00C42F61">
      <w:pPr>
        <w:pStyle w:val="EndnoteText"/>
      </w:pPr>
    </w:p>
  </w:endnote>
  <w:endnote w:id="13">
    <w:p w:rsidR="00C42F61" w:rsidRDefault="00C42F61">
      <w:pPr>
        <w:pStyle w:val="EndnoteText"/>
      </w:pPr>
      <w:r>
        <w:rPr>
          <w:rStyle w:val="EndnoteReference"/>
        </w:rPr>
        <w:endnoteRef/>
      </w:r>
      <w:r>
        <w:t xml:space="preserve"> </w:t>
      </w:r>
      <w:proofErr w:type="gramStart"/>
      <w:r w:rsidRPr="004E0A5C">
        <w:t>Navigant Consulting.</w:t>
      </w:r>
      <w:proofErr w:type="gramEnd"/>
      <w:r w:rsidRPr="004E0A5C">
        <w:t xml:space="preserve"> </w:t>
      </w:r>
      <w:r w:rsidRPr="004E0A5C">
        <w:rPr>
          <w:i/>
        </w:rPr>
        <w:t>Energy Savings Estimates of Light Emitting Diodes in Niche Lighting Applications.</w:t>
      </w:r>
      <w:r w:rsidRPr="004E0A5C">
        <w:t xml:space="preserve"> </w:t>
      </w:r>
      <w:proofErr w:type="gramStart"/>
      <w:r w:rsidRPr="004E0A5C">
        <w:t>For the U.S. Department of Energy.</w:t>
      </w:r>
      <w:proofErr w:type="gramEnd"/>
      <w:r w:rsidRPr="004E0A5C">
        <w:t xml:space="preserve"> January 2011. http://www1.eere.energy.gov/buildings/ssl/tech_reports.html</w:t>
      </w:r>
    </w:p>
    <w:p w:rsidR="00C42F61" w:rsidRDefault="00C42F61">
      <w:pPr>
        <w:pStyle w:val="EndnoteText"/>
      </w:pPr>
    </w:p>
  </w:endnote>
  <w:endnote w:id="14">
    <w:p w:rsidR="00C42F61" w:rsidRDefault="00C42F61">
      <w:pPr>
        <w:pStyle w:val="EndnoteText"/>
      </w:pPr>
      <w:r>
        <w:rPr>
          <w:rStyle w:val="EndnoteReference"/>
        </w:rPr>
        <w:endnoteRef/>
      </w:r>
      <w:r>
        <w:t xml:space="preserve"> </w:t>
      </w:r>
      <w:proofErr w:type="gramStart"/>
      <w:r w:rsidRPr="00714B3D">
        <w:t>Navigant Consulting.</w:t>
      </w:r>
      <w:proofErr w:type="gramEnd"/>
      <w:r w:rsidRPr="00714B3D">
        <w:t xml:space="preserve"> </w:t>
      </w:r>
      <w:proofErr w:type="gramStart"/>
      <w:r w:rsidRPr="00714B3D">
        <w:rPr>
          <w:i/>
        </w:rPr>
        <w:t>Energy Savings Potential of Solid-State Lighting in General Illumination Applications.</w:t>
      </w:r>
      <w:proofErr w:type="gramEnd"/>
      <w:r w:rsidRPr="00714B3D">
        <w:t xml:space="preserve"> </w:t>
      </w:r>
      <w:proofErr w:type="gramStart"/>
      <w:r w:rsidRPr="00714B3D">
        <w:t>For the U.S. Department of Energy.</w:t>
      </w:r>
      <w:proofErr w:type="gramEnd"/>
      <w:r w:rsidRPr="00714B3D">
        <w:t xml:space="preserve"> January 2012. http://www1.eere.energy.gov/buildings/ssl/tech_reports.html</w:t>
      </w:r>
    </w:p>
    <w:p w:rsidR="00C42F61" w:rsidRDefault="00C42F61">
      <w:pPr>
        <w:pStyle w:val="EndnoteText"/>
      </w:pPr>
    </w:p>
  </w:endnote>
  <w:endnote w:id="15">
    <w:p w:rsidR="00C42F61" w:rsidRPr="00B94853" w:rsidRDefault="00C42F61" w:rsidP="00930C2C">
      <w:pPr>
        <w:pStyle w:val="EndnoteText"/>
      </w:pPr>
      <w:r>
        <w:rPr>
          <w:rStyle w:val="EndnoteReference"/>
        </w:rPr>
        <w:endnoteRef/>
      </w:r>
      <w:r>
        <w:t xml:space="preserve"> </w:t>
      </w:r>
      <w:proofErr w:type="gramStart"/>
      <w:r>
        <w:t>Pacific Gas and Electric Company.</w:t>
      </w:r>
      <w:proofErr w:type="gramEnd"/>
      <w:r>
        <w:rPr>
          <w:i/>
        </w:rPr>
        <w:t xml:space="preserve"> Electric Schedule LS-2</w:t>
      </w:r>
      <w:r w:rsidRPr="006633DC">
        <w:rPr>
          <w:i/>
        </w:rPr>
        <w:t>: Customer-Owned Street and Highway Lighting.</w:t>
      </w:r>
      <w:r>
        <w:t xml:space="preserve"> </w:t>
      </w:r>
      <w:r w:rsidRPr="006633DC">
        <w:t>January 25, 2012</w:t>
      </w:r>
      <w:r>
        <w:t xml:space="preserve">. </w:t>
      </w:r>
      <w:r w:rsidRPr="006633DC">
        <w:t>www.pge.com/tariffs/tm2/pdf/ELEC_SCHEDS_LS-2.pdf</w:t>
      </w:r>
    </w:p>
    <w:p w:rsidR="00C42F61" w:rsidRDefault="00C42F61" w:rsidP="00930C2C">
      <w:pPr>
        <w:pStyle w:val="EndnoteText"/>
      </w:pPr>
    </w:p>
  </w:endnote>
  <w:endnote w:id="16">
    <w:p w:rsidR="00C42F61" w:rsidRDefault="00C42F61" w:rsidP="00202F85">
      <w:pPr>
        <w:pStyle w:val="EndnoteText"/>
      </w:pPr>
      <w:r>
        <w:rPr>
          <w:rStyle w:val="EndnoteReference"/>
        </w:rPr>
        <w:endnoteRef/>
      </w:r>
      <w:r>
        <w:rPr>
          <w:i/>
        </w:rPr>
        <w:t xml:space="preserve"> </w:t>
      </w:r>
      <w:proofErr w:type="gramStart"/>
      <w:r w:rsidRPr="00474B71">
        <w:t>DOE Solid-State Lighting CALiPER Program.</w:t>
      </w:r>
      <w:proofErr w:type="gramEnd"/>
      <w:r w:rsidRPr="00474B71">
        <w:t xml:space="preserve"> </w:t>
      </w:r>
      <w:r>
        <w:rPr>
          <w:i/>
        </w:rPr>
        <w:t>Summary Report 3</w:t>
      </w:r>
      <w:r w:rsidRPr="00474B71">
        <w:t xml:space="preserve"> (May 20</w:t>
      </w:r>
      <w:r>
        <w:t>08</w:t>
      </w:r>
      <w:r w:rsidRPr="00474B71">
        <w:t>). http://www1.eere.energy.gov/buildings/ssl/reports.html</w:t>
      </w:r>
    </w:p>
    <w:p w:rsidR="00C42F61" w:rsidRDefault="00C42F61" w:rsidP="00202F85">
      <w:pPr>
        <w:pStyle w:val="EndnoteText"/>
      </w:pPr>
    </w:p>
  </w:endnote>
  <w:endnote w:id="17">
    <w:p w:rsidR="00C42F61" w:rsidRDefault="00C42F61" w:rsidP="007732F4">
      <w:pPr>
        <w:pStyle w:val="EndnoteText"/>
        <w:tabs>
          <w:tab w:val="left" w:pos="187"/>
        </w:tabs>
      </w:pPr>
      <w:r w:rsidRPr="007732F4">
        <w:rPr>
          <w:rStyle w:val="EndnoteReference"/>
        </w:rPr>
        <w:endnoteRef/>
      </w:r>
      <w:r w:rsidRPr="007732F4">
        <w:t xml:space="preserve"> R.S. Means Company. </w:t>
      </w:r>
      <w:proofErr w:type="gramStart"/>
      <w:r w:rsidRPr="007732F4">
        <w:rPr>
          <w:i/>
        </w:rPr>
        <w:t>RSMeans Electrical Cost Data</w:t>
      </w:r>
      <w:r w:rsidR="007732F4" w:rsidRPr="007732F4">
        <w:rPr>
          <w:i/>
        </w:rPr>
        <w:t xml:space="preserve"> 2015</w:t>
      </w:r>
      <w:r w:rsidRPr="007732F4">
        <w:rPr>
          <w:i/>
        </w:rPr>
        <w:t>.</w:t>
      </w:r>
      <w:proofErr w:type="gramEnd"/>
      <w:r w:rsidRPr="007732F4">
        <w:t xml:space="preserve"> Norwell, MA: R.S. Means Co., 201</w:t>
      </w:r>
      <w:r w:rsidR="007732F4" w:rsidRPr="007732F4">
        <w:t>5</w:t>
      </w:r>
      <w:r w:rsidRPr="007732F4">
        <w:t>.</w:t>
      </w:r>
      <w:r w:rsidRPr="007732F4">
        <w:rPr>
          <w:highlight w:val="yellow"/>
        </w:rPr>
        <w:br/>
      </w:r>
    </w:p>
  </w:endnote>
  <w:endnote w:id="18">
    <w:p w:rsidR="00F178CD" w:rsidRDefault="00F178CD">
      <w:pPr>
        <w:pStyle w:val="EndnoteText"/>
      </w:pPr>
      <w:r>
        <w:rPr>
          <w:rStyle w:val="EndnoteReference"/>
        </w:rPr>
        <w:endnoteRef/>
      </w:r>
      <w:r>
        <w:t xml:space="preserve"> </w:t>
      </w:r>
      <w:r w:rsidRPr="00F178CD">
        <w:t xml:space="preserve">2010-2012 WO017 </w:t>
      </w:r>
      <w:proofErr w:type="gramStart"/>
      <w:r w:rsidRPr="00F178CD">
        <w:t>Ex</w:t>
      </w:r>
      <w:proofErr w:type="gramEnd"/>
      <w:r w:rsidRPr="00F178CD">
        <w:t xml:space="preserve"> Ante Measure Cost Study Final Report.  </w:t>
      </w:r>
      <w:proofErr w:type="gramStart"/>
      <w:r w:rsidRPr="00F178CD">
        <w:t xml:space="preserve">Submitted by:  </w:t>
      </w:r>
      <w:proofErr w:type="spellStart"/>
      <w:r w:rsidRPr="00F178CD">
        <w:t>Itron</w:t>
      </w:r>
      <w:proofErr w:type="spellEnd"/>
      <w:r w:rsidRPr="00F178CD">
        <w:t>, Inc.</w:t>
      </w:r>
      <w:proofErr w:type="gramEnd"/>
      <w:r w:rsidRPr="00F178CD">
        <w:t xml:space="preserve">  May 27, 2014.</w:t>
      </w:r>
      <w:r>
        <w:t xml:space="preserve"> Page 4-12.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42F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42F61" w:rsidRDefault="00C42F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42F61">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ii</w:t>
    </w:r>
    <w:r>
      <w:rPr>
        <w:rStyle w:val="PageNumber"/>
        <w:b/>
        <w:sz w:val="20"/>
        <w:szCs w:val="20"/>
      </w:rPr>
      <w:fldChar w:fldCharType="end"/>
    </w:r>
  </w:p>
  <w:p w:rsidR="00C42F61" w:rsidRDefault="00C42F61">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Pr>
        <w:b/>
        <w:color w:val="FF0000"/>
        <w:sz w:val="20"/>
        <w:szCs w:val="20"/>
      </w:rPr>
      <w:t>X</w:t>
    </w:r>
    <w:r>
      <w:rPr>
        <w:b/>
        <w:sz w:val="20"/>
        <w:szCs w:val="20"/>
      </w:rPr>
      <w:tab/>
    </w:r>
    <w:r>
      <w:rPr>
        <w:b/>
        <w:sz w:val="20"/>
        <w:szCs w:val="20"/>
      </w:rPr>
      <w:tab/>
      <w:t>11/20/2007</w:t>
    </w:r>
  </w:p>
  <w:p w:rsidR="00C42F61" w:rsidRDefault="00C42F61">
    <w:pPr>
      <w:pStyle w:val="Footer"/>
      <w:rPr>
        <w:b/>
        <w:sz w:val="20"/>
        <w:szCs w:val="20"/>
      </w:rPr>
    </w:pPr>
    <w:r>
      <w:rPr>
        <w:b/>
        <w:sz w:val="20"/>
        <w:szCs w:val="20"/>
      </w:rPr>
      <w:t>Pacific Gas &amp; Electric Company</w:t>
    </w:r>
  </w:p>
  <w:p w:rsidR="00C42F61" w:rsidRDefault="00C42F61">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r>
      <w:rPr>
        <w:b/>
        <w:noProof/>
        <w:color w:val="0000FF"/>
        <w:sz w:val="20"/>
        <w:szCs w:val="20"/>
      </w:rPr>
      <w:t>PGECOLTG151 R5 LED Outdoor Street and Area.docx</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Pr="00A716CC" w:rsidRDefault="00C42F61">
    <w:pPr>
      <w:pStyle w:val="Footer"/>
      <w:jc w:val="right"/>
      <w:rPr>
        <w:rFonts w:ascii="Arial" w:hAnsi="Arial" w:cs="Arial"/>
        <w:b/>
      </w:rPr>
    </w:pPr>
    <w:r>
      <w:rPr>
        <w:rFonts w:ascii="Arial" w:hAnsi="Arial" w:cs="Arial"/>
        <w:b/>
      </w:rPr>
      <w:t>1/1/2016</w:t>
    </w:r>
  </w:p>
  <w:p w:rsidR="00C42F61" w:rsidRDefault="00C42F6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42F6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42F61" w:rsidRDefault="00C42F6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42F61">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C65AE2">
      <w:rPr>
        <w:rStyle w:val="PageNumber"/>
        <w:b/>
        <w:noProof/>
        <w:sz w:val="20"/>
        <w:szCs w:val="20"/>
      </w:rPr>
      <w:t>9</w:t>
    </w:r>
    <w:r>
      <w:rPr>
        <w:rStyle w:val="PageNumber"/>
        <w:b/>
        <w:sz w:val="20"/>
        <w:szCs w:val="20"/>
      </w:rPr>
      <w:fldChar w:fldCharType="end"/>
    </w:r>
  </w:p>
  <w:p w:rsidR="00C42F61" w:rsidRPr="004E2F62" w:rsidRDefault="00C42F61" w:rsidP="00940C5D">
    <w:pPr>
      <w:pStyle w:val="Footer"/>
      <w:pBdr>
        <w:top w:val="single" w:sz="4" w:space="1" w:color="auto"/>
      </w:pBdr>
      <w:tabs>
        <w:tab w:val="clear" w:pos="8640"/>
        <w:tab w:val="right" w:pos="9360"/>
      </w:tabs>
      <w:rPr>
        <w:sz w:val="20"/>
        <w:szCs w:val="20"/>
      </w:rPr>
    </w:pPr>
    <w:r w:rsidRPr="004E2F62">
      <w:rPr>
        <w:sz w:val="20"/>
        <w:szCs w:val="20"/>
      </w:rPr>
      <w:t>Work Paper PGECOLTG151, Revision 5</w:t>
    </w:r>
    <w:r w:rsidRPr="004E2F62">
      <w:rPr>
        <w:sz w:val="20"/>
        <w:szCs w:val="20"/>
      </w:rPr>
      <w:tab/>
    </w:r>
    <w:r w:rsidRPr="004E2F62">
      <w:rPr>
        <w:sz w:val="20"/>
        <w:szCs w:val="20"/>
      </w:rPr>
      <w:tab/>
      <w:t xml:space="preserve"> 1/1/2016</w:t>
    </w:r>
  </w:p>
  <w:p w:rsidR="00C42F61" w:rsidRPr="004E2F62" w:rsidRDefault="00C42F61" w:rsidP="00940C5D">
    <w:pPr>
      <w:pStyle w:val="Footer"/>
      <w:pBdr>
        <w:top w:val="single" w:sz="4" w:space="1" w:color="auto"/>
      </w:pBdr>
      <w:tabs>
        <w:tab w:val="clear" w:pos="8640"/>
        <w:tab w:val="right" w:pos="9360"/>
      </w:tabs>
      <w:rPr>
        <w:sz w:val="20"/>
        <w:szCs w:val="20"/>
      </w:rPr>
    </w:pPr>
    <w:r w:rsidRPr="004E2F62">
      <w:rPr>
        <w:sz w:val="20"/>
        <w:szCs w:val="20"/>
      </w:rPr>
      <w:t>Pacific Gas &amp; Electric Company</w:t>
    </w:r>
  </w:p>
  <w:p w:rsidR="00C42F61" w:rsidRPr="004E2F62" w:rsidRDefault="00C42F61">
    <w:pPr>
      <w:pStyle w:val="Footer"/>
      <w:rPr>
        <w:sz w:val="20"/>
        <w:szCs w:val="20"/>
      </w:rPr>
    </w:pPr>
    <w:r w:rsidRPr="004E2F62">
      <w:rPr>
        <w:sz w:val="20"/>
        <w:szCs w:val="20"/>
      </w:rPr>
      <w:fldChar w:fldCharType="begin"/>
    </w:r>
    <w:r w:rsidRPr="004E2F62">
      <w:rPr>
        <w:sz w:val="20"/>
        <w:szCs w:val="20"/>
      </w:rPr>
      <w:instrText xml:space="preserve"> FILENAME </w:instrText>
    </w:r>
    <w:r w:rsidRPr="004E2F62">
      <w:rPr>
        <w:sz w:val="20"/>
        <w:szCs w:val="20"/>
      </w:rPr>
      <w:fldChar w:fldCharType="separate"/>
    </w:r>
    <w:r>
      <w:rPr>
        <w:noProof/>
        <w:sz w:val="20"/>
        <w:szCs w:val="20"/>
      </w:rPr>
      <w:t>PGECOLTG151 R5 LED Outdoor Street and Area.docx</w:t>
    </w:r>
    <w:r w:rsidRPr="004E2F62">
      <w:rPr>
        <w:sz w:val="20"/>
        <w:szCs w:val="20"/>
      </w:rPr>
      <w:fldChar w:fldCharType="end"/>
    </w:r>
    <w:r w:rsidRPr="004E2F62">
      <w:rPr>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42F61">
    <w:pPr>
      <w:pStyle w:val="Footer"/>
      <w:jc w:val="right"/>
      <w:rPr>
        <w:rFonts w:ascii="Arial" w:hAnsi="Arial" w:cs="Arial"/>
        <w:b/>
        <w:sz w:val="36"/>
        <w:szCs w:val="36"/>
      </w:rPr>
    </w:pPr>
    <w:r>
      <w:rPr>
        <w:rFonts w:ascii="Arial" w:hAnsi="Arial" w:cs="Arial"/>
        <w:b/>
        <w:sz w:val="36"/>
        <w:szCs w:val="36"/>
      </w:rPr>
      <w:t>Date of Last Revision</w:t>
    </w:r>
  </w:p>
  <w:p w:rsidR="00C42F61" w:rsidRDefault="00C42F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FEC" w:rsidRDefault="00E06FEC">
      <w:r>
        <w:separator/>
      </w:r>
    </w:p>
  </w:footnote>
  <w:footnote w:type="continuationSeparator" w:id="0">
    <w:p w:rsidR="00E06FEC" w:rsidRDefault="00E06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65AE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42F61">
    <w:pPr>
      <w:pStyle w:val="Header"/>
      <w:jc w:val="right"/>
    </w:pPr>
  </w:p>
  <w:p w:rsidR="00C42F61" w:rsidRDefault="00C42F61">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65AE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42F61">
    <w:pPr>
      <w:pStyle w:val="Header"/>
      <w:jc w:val="right"/>
    </w:pPr>
  </w:p>
  <w:p w:rsidR="00C42F61" w:rsidRDefault="00C42F61">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F61" w:rsidRDefault="00C65AE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36"/>
    <w:multiLevelType w:val="hybridMultilevel"/>
    <w:tmpl w:val="03448914"/>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99869A1"/>
    <w:multiLevelType w:val="hybridMultilevel"/>
    <w:tmpl w:val="355A4B6E"/>
    <w:lvl w:ilvl="0" w:tplc="F80C65AE">
      <w:start w:val="1"/>
      <w:numFmt w:val="lowerLetter"/>
      <w:lvlText w:val="(%1)"/>
      <w:lvlJc w:val="left"/>
      <w:pPr>
        <w:tabs>
          <w:tab w:val="num" w:pos="720"/>
        </w:tabs>
        <w:ind w:left="720" w:hanging="360"/>
      </w:pPr>
      <w:rPr>
        <w:rFonts w:hint="default"/>
      </w:rPr>
    </w:lvl>
    <w:lvl w:ilvl="1" w:tplc="505E80A6">
      <w:start w:val="1"/>
      <w:numFmt w:val="decimal"/>
      <w:lvlText w:val="%2."/>
      <w:lvlJc w:val="left"/>
      <w:pPr>
        <w:tabs>
          <w:tab w:val="num" w:pos="1440"/>
        </w:tabs>
        <w:ind w:left="1440" w:hanging="360"/>
      </w:pPr>
      <w:rPr>
        <w:rFonts w:hint="default"/>
      </w:rPr>
    </w:lvl>
    <w:lvl w:ilvl="2" w:tplc="04090015">
      <w:start w:val="1"/>
      <w:numFmt w:val="upperLetter"/>
      <w:lvlText w:val="%3."/>
      <w:lvlJc w:val="lef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FCD5730"/>
    <w:multiLevelType w:val="hybridMultilevel"/>
    <w:tmpl w:val="38581B50"/>
    <w:lvl w:ilvl="0" w:tplc="F80C65AE">
      <w:start w:val="1"/>
      <w:numFmt w:val="lowerLetter"/>
      <w:lvlText w:val="(%1)"/>
      <w:lvlJc w:val="left"/>
      <w:pPr>
        <w:tabs>
          <w:tab w:val="num" w:pos="720"/>
        </w:tabs>
        <w:ind w:left="720" w:hanging="360"/>
      </w:pPr>
      <w:rPr>
        <w:rFonts w:hint="default"/>
      </w:rPr>
    </w:lvl>
    <w:lvl w:ilvl="1" w:tplc="505E80A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CBD63C3"/>
    <w:multiLevelType w:val="hybridMultilevel"/>
    <w:tmpl w:val="3E606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7820856"/>
    <w:multiLevelType w:val="singleLevel"/>
    <w:tmpl w:val="6C78A414"/>
    <w:lvl w:ilvl="0">
      <w:start w:val="1"/>
      <w:numFmt w:val="decimal"/>
      <w:lvlText w:val="%1."/>
      <w:legacy w:legacy="1" w:legacySpace="0" w:legacyIndent="0"/>
      <w:lvlJc w:val="left"/>
    </w:lvl>
  </w:abstractNum>
  <w:abstractNum w:abstractNumId="11">
    <w:nsid w:val="7DE51D7A"/>
    <w:multiLevelType w:val="hybridMultilevel"/>
    <w:tmpl w:val="1DC0D364"/>
    <w:lvl w:ilvl="0" w:tplc="AB5A3986">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2">
    <w:nsid w:val="7F663488"/>
    <w:multiLevelType w:val="hybridMultilevel"/>
    <w:tmpl w:val="E85480AA"/>
    <w:lvl w:ilvl="0" w:tplc="1F740A64">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3"/>
  </w:num>
  <w:num w:numId="4">
    <w:abstractNumId w:val="4"/>
  </w:num>
  <w:num w:numId="5">
    <w:abstractNumId w:val="10"/>
  </w:num>
  <w:num w:numId="6">
    <w:abstractNumId w:val="5"/>
  </w:num>
  <w:num w:numId="7">
    <w:abstractNumId w:val="1"/>
  </w:num>
  <w:num w:numId="8">
    <w:abstractNumId w:val="8"/>
  </w:num>
  <w:num w:numId="9">
    <w:abstractNumId w:val="11"/>
  </w:num>
  <w:num w:numId="10">
    <w:abstractNumId w:val="12"/>
  </w:num>
  <w:num w:numId="11">
    <w:abstractNumId w:val="0"/>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406"/>
    <w:rsid w:val="00000467"/>
    <w:rsid w:val="00023B18"/>
    <w:rsid w:val="00026ADD"/>
    <w:rsid w:val="000302B8"/>
    <w:rsid w:val="00050CEF"/>
    <w:rsid w:val="000512C2"/>
    <w:rsid w:val="000612CC"/>
    <w:rsid w:val="000617F1"/>
    <w:rsid w:val="00061D4F"/>
    <w:rsid w:val="0006685B"/>
    <w:rsid w:val="0006740C"/>
    <w:rsid w:val="00072397"/>
    <w:rsid w:val="000730E8"/>
    <w:rsid w:val="000771D2"/>
    <w:rsid w:val="0007772C"/>
    <w:rsid w:val="0008302B"/>
    <w:rsid w:val="00092162"/>
    <w:rsid w:val="00092313"/>
    <w:rsid w:val="00092C12"/>
    <w:rsid w:val="000A2B1A"/>
    <w:rsid w:val="000B0167"/>
    <w:rsid w:val="000B121A"/>
    <w:rsid w:val="000B4690"/>
    <w:rsid w:val="000C03A7"/>
    <w:rsid w:val="000C36FB"/>
    <w:rsid w:val="000C3FB8"/>
    <w:rsid w:val="000C4204"/>
    <w:rsid w:val="000C5B86"/>
    <w:rsid w:val="000D098D"/>
    <w:rsid w:val="000D455D"/>
    <w:rsid w:val="000D712F"/>
    <w:rsid w:val="000E188A"/>
    <w:rsid w:val="000E1E77"/>
    <w:rsid w:val="000E21BB"/>
    <w:rsid w:val="000E3F3C"/>
    <w:rsid w:val="000E4C57"/>
    <w:rsid w:val="00101EDC"/>
    <w:rsid w:val="00104058"/>
    <w:rsid w:val="00111AB0"/>
    <w:rsid w:val="00113B2E"/>
    <w:rsid w:val="0011669B"/>
    <w:rsid w:val="00117E83"/>
    <w:rsid w:val="001226BF"/>
    <w:rsid w:val="00125145"/>
    <w:rsid w:val="001462B8"/>
    <w:rsid w:val="0014654E"/>
    <w:rsid w:val="001501BA"/>
    <w:rsid w:val="00153D65"/>
    <w:rsid w:val="001559A8"/>
    <w:rsid w:val="001600DB"/>
    <w:rsid w:val="001631E4"/>
    <w:rsid w:val="00170992"/>
    <w:rsid w:val="00173BBC"/>
    <w:rsid w:val="001740FC"/>
    <w:rsid w:val="00175F3F"/>
    <w:rsid w:val="001839CB"/>
    <w:rsid w:val="001868A3"/>
    <w:rsid w:val="00197993"/>
    <w:rsid w:val="001A1DC6"/>
    <w:rsid w:val="001A23DA"/>
    <w:rsid w:val="001A6172"/>
    <w:rsid w:val="001B4957"/>
    <w:rsid w:val="001B49C6"/>
    <w:rsid w:val="001B6FE4"/>
    <w:rsid w:val="001C78EA"/>
    <w:rsid w:val="001C7F90"/>
    <w:rsid w:val="001D2CFC"/>
    <w:rsid w:val="001E2405"/>
    <w:rsid w:val="001E474C"/>
    <w:rsid w:val="001E4E6A"/>
    <w:rsid w:val="001E51D0"/>
    <w:rsid w:val="001F4C2A"/>
    <w:rsid w:val="00202F85"/>
    <w:rsid w:val="0020418B"/>
    <w:rsid w:val="00204C17"/>
    <w:rsid w:val="00213BC7"/>
    <w:rsid w:val="00214A61"/>
    <w:rsid w:val="00220115"/>
    <w:rsid w:val="00220688"/>
    <w:rsid w:val="002353D5"/>
    <w:rsid w:val="00240316"/>
    <w:rsid w:val="00252990"/>
    <w:rsid w:val="002540F5"/>
    <w:rsid w:val="00255671"/>
    <w:rsid w:val="00257110"/>
    <w:rsid w:val="00260D1F"/>
    <w:rsid w:val="002629D2"/>
    <w:rsid w:val="002660E5"/>
    <w:rsid w:val="002800F7"/>
    <w:rsid w:val="00285088"/>
    <w:rsid w:val="00286BFD"/>
    <w:rsid w:val="00290185"/>
    <w:rsid w:val="002931A7"/>
    <w:rsid w:val="00296065"/>
    <w:rsid w:val="00296B4E"/>
    <w:rsid w:val="0029788F"/>
    <w:rsid w:val="002B0E30"/>
    <w:rsid w:val="002B2335"/>
    <w:rsid w:val="002B606F"/>
    <w:rsid w:val="002C3F41"/>
    <w:rsid w:val="002C7622"/>
    <w:rsid w:val="002D42D7"/>
    <w:rsid w:val="002D54C6"/>
    <w:rsid w:val="002E217D"/>
    <w:rsid w:val="002E401D"/>
    <w:rsid w:val="002F3657"/>
    <w:rsid w:val="003003F6"/>
    <w:rsid w:val="0030551D"/>
    <w:rsid w:val="003069FF"/>
    <w:rsid w:val="00307EBC"/>
    <w:rsid w:val="0031343C"/>
    <w:rsid w:val="00313A1D"/>
    <w:rsid w:val="00313C77"/>
    <w:rsid w:val="00320925"/>
    <w:rsid w:val="00332B96"/>
    <w:rsid w:val="00333D88"/>
    <w:rsid w:val="0034293B"/>
    <w:rsid w:val="0034621C"/>
    <w:rsid w:val="0036252B"/>
    <w:rsid w:val="00387A0A"/>
    <w:rsid w:val="003A723F"/>
    <w:rsid w:val="003B2337"/>
    <w:rsid w:val="003B2C14"/>
    <w:rsid w:val="003B49A6"/>
    <w:rsid w:val="003B5302"/>
    <w:rsid w:val="003C1EBD"/>
    <w:rsid w:val="003C62B0"/>
    <w:rsid w:val="003D3F49"/>
    <w:rsid w:val="003E4D94"/>
    <w:rsid w:val="003E6D19"/>
    <w:rsid w:val="003E6DF6"/>
    <w:rsid w:val="00404F72"/>
    <w:rsid w:val="004274C2"/>
    <w:rsid w:val="00427664"/>
    <w:rsid w:val="00430A87"/>
    <w:rsid w:val="0043618B"/>
    <w:rsid w:val="004401EB"/>
    <w:rsid w:val="00440B6E"/>
    <w:rsid w:val="00445BBC"/>
    <w:rsid w:val="0044603F"/>
    <w:rsid w:val="00451364"/>
    <w:rsid w:val="00452208"/>
    <w:rsid w:val="004579D4"/>
    <w:rsid w:val="004622FE"/>
    <w:rsid w:val="00463D1D"/>
    <w:rsid w:val="00464D46"/>
    <w:rsid w:val="00472278"/>
    <w:rsid w:val="00474B71"/>
    <w:rsid w:val="00486012"/>
    <w:rsid w:val="00490FA0"/>
    <w:rsid w:val="00492AD4"/>
    <w:rsid w:val="00492E45"/>
    <w:rsid w:val="00493E2E"/>
    <w:rsid w:val="00496C04"/>
    <w:rsid w:val="004A24BA"/>
    <w:rsid w:val="004A2B94"/>
    <w:rsid w:val="004A4BE5"/>
    <w:rsid w:val="004A568A"/>
    <w:rsid w:val="004A6503"/>
    <w:rsid w:val="004C4B3A"/>
    <w:rsid w:val="004E0A5C"/>
    <w:rsid w:val="004E240D"/>
    <w:rsid w:val="004E2F62"/>
    <w:rsid w:val="004E432B"/>
    <w:rsid w:val="004E50F2"/>
    <w:rsid w:val="004E5A16"/>
    <w:rsid w:val="004E7B81"/>
    <w:rsid w:val="004F1F5A"/>
    <w:rsid w:val="004F363D"/>
    <w:rsid w:val="004F492D"/>
    <w:rsid w:val="00512282"/>
    <w:rsid w:val="005134C8"/>
    <w:rsid w:val="0052055D"/>
    <w:rsid w:val="00535A75"/>
    <w:rsid w:val="00536217"/>
    <w:rsid w:val="005366C6"/>
    <w:rsid w:val="005468E3"/>
    <w:rsid w:val="005517DB"/>
    <w:rsid w:val="00553D4F"/>
    <w:rsid w:val="005625CA"/>
    <w:rsid w:val="005636FF"/>
    <w:rsid w:val="00563E98"/>
    <w:rsid w:val="00567C20"/>
    <w:rsid w:val="005716E8"/>
    <w:rsid w:val="00571A1B"/>
    <w:rsid w:val="005816C5"/>
    <w:rsid w:val="00585E5C"/>
    <w:rsid w:val="00595B58"/>
    <w:rsid w:val="00597B8A"/>
    <w:rsid w:val="005A0A1A"/>
    <w:rsid w:val="005A0E54"/>
    <w:rsid w:val="005A619C"/>
    <w:rsid w:val="005B103E"/>
    <w:rsid w:val="005B2978"/>
    <w:rsid w:val="005B3E6F"/>
    <w:rsid w:val="005B67A9"/>
    <w:rsid w:val="005C1C8A"/>
    <w:rsid w:val="005C68E7"/>
    <w:rsid w:val="005D32F6"/>
    <w:rsid w:val="005D7744"/>
    <w:rsid w:val="005E15A7"/>
    <w:rsid w:val="005E3E29"/>
    <w:rsid w:val="005E5886"/>
    <w:rsid w:val="005F0012"/>
    <w:rsid w:val="005F1A2A"/>
    <w:rsid w:val="005F4714"/>
    <w:rsid w:val="005F5DE6"/>
    <w:rsid w:val="005F63CB"/>
    <w:rsid w:val="00602D00"/>
    <w:rsid w:val="006056D1"/>
    <w:rsid w:val="00607AFE"/>
    <w:rsid w:val="006115FC"/>
    <w:rsid w:val="00620248"/>
    <w:rsid w:val="00636E36"/>
    <w:rsid w:val="00641021"/>
    <w:rsid w:val="0064786C"/>
    <w:rsid w:val="00653AC4"/>
    <w:rsid w:val="006551FA"/>
    <w:rsid w:val="00660D69"/>
    <w:rsid w:val="00661FCC"/>
    <w:rsid w:val="006633DC"/>
    <w:rsid w:val="006739F7"/>
    <w:rsid w:val="006749BB"/>
    <w:rsid w:val="006777E0"/>
    <w:rsid w:val="006825F1"/>
    <w:rsid w:val="006839C0"/>
    <w:rsid w:val="00686958"/>
    <w:rsid w:val="0068773B"/>
    <w:rsid w:val="00687CAD"/>
    <w:rsid w:val="00692E2C"/>
    <w:rsid w:val="006965B5"/>
    <w:rsid w:val="006A76A8"/>
    <w:rsid w:val="006B1855"/>
    <w:rsid w:val="006B421E"/>
    <w:rsid w:val="006C1406"/>
    <w:rsid w:val="006C15FB"/>
    <w:rsid w:val="006C23E7"/>
    <w:rsid w:val="006C5879"/>
    <w:rsid w:val="006C5BCC"/>
    <w:rsid w:val="006C699A"/>
    <w:rsid w:val="006C78B1"/>
    <w:rsid w:val="006D2C5C"/>
    <w:rsid w:val="006D30FF"/>
    <w:rsid w:val="006D46E7"/>
    <w:rsid w:val="006D6D78"/>
    <w:rsid w:val="006D7F88"/>
    <w:rsid w:val="006E28F6"/>
    <w:rsid w:val="006E3403"/>
    <w:rsid w:val="006E5F43"/>
    <w:rsid w:val="006E7721"/>
    <w:rsid w:val="006E78E5"/>
    <w:rsid w:val="006F2F21"/>
    <w:rsid w:val="006F37AD"/>
    <w:rsid w:val="006F44F8"/>
    <w:rsid w:val="00701BD4"/>
    <w:rsid w:val="00707BB8"/>
    <w:rsid w:val="007100F8"/>
    <w:rsid w:val="00714B3D"/>
    <w:rsid w:val="007202E7"/>
    <w:rsid w:val="00722229"/>
    <w:rsid w:val="0072640A"/>
    <w:rsid w:val="00736831"/>
    <w:rsid w:val="00740384"/>
    <w:rsid w:val="00744ED9"/>
    <w:rsid w:val="00763BD4"/>
    <w:rsid w:val="00763D75"/>
    <w:rsid w:val="00764DCF"/>
    <w:rsid w:val="0076543F"/>
    <w:rsid w:val="0077127E"/>
    <w:rsid w:val="007719CA"/>
    <w:rsid w:val="00772BEC"/>
    <w:rsid w:val="007732F4"/>
    <w:rsid w:val="00775B9D"/>
    <w:rsid w:val="0077737A"/>
    <w:rsid w:val="00782445"/>
    <w:rsid w:val="00783E7B"/>
    <w:rsid w:val="00786891"/>
    <w:rsid w:val="00787370"/>
    <w:rsid w:val="007A1BA5"/>
    <w:rsid w:val="007A4B04"/>
    <w:rsid w:val="007A7E31"/>
    <w:rsid w:val="007B15C3"/>
    <w:rsid w:val="007B3864"/>
    <w:rsid w:val="007B7EF9"/>
    <w:rsid w:val="007C033F"/>
    <w:rsid w:val="007C6D2A"/>
    <w:rsid w:val="007D3C33"/>
    <w:rsid w:val="007E45FD"/>
    <w:rsid w:val="007F0BE8"/>
    <w:rsid w:val="008013B3"/>
    <w:rsid w:val="0080599B"/>
    <w:rsid w:val="00806692"/>
    <w:rsid w:val="00814805"/>
    <w:rsid w:val="00814ADF"/>
    <w:rsid w:val="00821546"/>
    <w:rsid w:val="00825ED6"/>
    <w:rsid w:val="00841B87"/>
    <w:rsid w:val="008423A9"/>
    <w:rsid w:val="008443B1"/>
    <w:rsid w:val="00847C88"/>
    <w:rsid w:val="00872618"/>
    <w:rsid w:val="00884FE6"/>
    <w:rsid w:val="00893347"/>
    <w:rsid w:val="00894563"/>
    <w:rsid w:val="00897885"/>
    <w:rsid w:val="008A0C5E"/>
    <w:rsid w:val="008A1DA4"/>
    <w:rsid w:val="008B5F11"/>
    <w:rsid w:val="008C0565"/>
    <w:rsid w:val="008C6B62"/>
    <w:rsid w:val="008E2933"/>
    <w:rsid w:val="008E3D76"/>
    <w:rsid w:val="009064CF"/>
    <w:rsid w:val="0090797B"/>
    <w:rsid w:val="00910789"/>
    <w:rsid w:val="009200A5"/>
    <w:rsid w:val="00925A29"/>
    <w:rsid w:val="00930C2C"/>
    <w:rsid w:val="00931918"/>
    <w:rsid w:val="009341DC"/>
    <w:rsid w:val="00937633"/>
    <w:rsid w:val="009376A1"/>
    <w:rsid w:val="00940BAA"/>
    <w:rsid w:val="00940C5D"/>
    <w:rsid w:val="00952E20"/>
    <w:rsid w:val="0095664A"/>
    <w:rsid w:val="00964D53"/>
    <w:rsid w:val="00966382"/>
    <w:rsid w:val="009909FA"/>
    <w:rsid w:val="00995530"/>
    <w:rsid w:val="009959FF"/>
    <w:rsid w:val="009A3C77"/>
    <w:rsid w:val="009A5AA6"/>
    <w:rsid w:val="009A6D16"/>
    <w:rsid w:val="009B0DF8"/>
    <w:rsid w:val="009C2AFF"/>
    <w:rsid w:val="009C68FE"/>
    <w:rsid w:val="009D27A1"/>
    <w:rsid w:val="009F1C76"/>
    <w:rsid w:val="009F1CB8"/>
    <w:rsid w:val="00A05240"/>
    <w:rsid w:val="00A12C6D"/>
    <w:rsid w:val="00A14653"/>
    <w:rsid w:val="00A228FA"/>
    <w:rsid w:val="00A279B4"/>
    <w:rsid w:val="00A33C7F"/>
    <w:rsid w:val="00A3614F"/>
    <w:rsid w:val="00A408C1"/>
    <w:rsid w:val="00A47FE3"/>
    <w:rsid w:val="00A5564E"/>
    <w:rsid w:val="00A561F7"/>
    <w:rsid w:val="00A5665E"/>
    <w:rsid w:val="00A716CC"/>
    <w:rsid w:val="00A74CCC"/>
    <w:rsid w:val="00A75DAB"/>
    <w:rsid w:val="00A877C5"/>
    <w:rsid w:val="00A90912"/>
    <w:rsid w:val="00A937B6"/>
    <w:rsid w:val="00A95C82"/>
    <w:rsid w:val="00A970FB"/>
    <w:rsid w:val="00A9769D"/>
    <w:rsid w:val="00AA2127"/>
    <w:rsid w:val="00AA2EEC"/>
    <w:rsid w:val="00AA4084"/>
    <w:rsid w:val="00AB1F28"/>
    <w:rsid w:val="00AB4EC1"/>
    <w:rsid w:val="00AD004F"/>
    <w:rsid w:val="00AD087D"/>
    <w:rsid w:val="00AD4200"/>
    <w:rsid w:val="00AD6212"/>
    <w:rsid w:val="00AD7814"/>
    <w:rsid w:val="00AD7A78"/>
    <w:rsid w:val="00AD7FA5"/>
    <w:rsid w:val="00AE56CE"/>
    <w:rsid w:val="00AE7569"/>
    <w:rsid w:val="00AE79DB"/>
    <w:rsid w:val="00AF1382"/>
    <w:rsid w:val="00B01698"/>
    <w:rsid w:val="00B05406"/>
    <w:rsid w:val="00B11AFE"/>
    <w:rsid w:val="00B129F4"/>
    <w:rsid w:val="00B162C4"/>
    <w:rsid w:val="00B200D2"/>
    <w:rsid w:val="00B32426"/>
    <w:rsid w:val="00B3454E"/>
    <w:rsid w:val="00B474DB"/>
    <w:rsid w:val="00B540EE"/>
    <w:rsid w:val="00B558C5"/>
    <w:rsid w:val="00B60E2D"/>
    <w:rsid w:val="00B66054"/>
    <w:rsid w:val="00B73AE3"/>
    <w:rsid w:val="00B7653A"/>
    <w:rsid w:val="00B818D6"/>
    <w:rsid w:val="00B81F60"/>
    <w:rsid w:val="00B873F2"/>
    <w:rsid w:val="00B918B2"/>
    <w:rsid w:val="00B9284B"/>
    <w:rsid w:val="00B94853"/>
    <w:rsid w:val="00B96A6F"/>
    <w:rsid w:val="00BA09AB"/>
    <w:rsid w:val="00BA3265"/>
    <w:rsid w:val="00BA48FB"/>
    <w:rsid w:val="00BB071B"/>
    <w:rsid w:val="00BB0FBE"/>
    <w:rsid w:val="00BB7665"/>
    <w:rsid w:val="00BC50C9"/>
    <w:rsid w:val="00BD59E3"/>
    <w:rsid w:val="00BE2205"/>
    <w:rsid w:val="00BF2C43"/>
    <w:rsid w:val="00C1212E"/>
    <w:rsid w:val="00C35377"/>
    <w:rsid w:val="00C42F61"/>
    <w:rsid w:val="00C508B6"/>
    <w:rsid w:val="00C61503"/>
    <w:rsid w:val="00C65AE2"/>
    <w:rsid w:val="00C71868"/>
    <w:rsid w:val="00C810C4"/>
    <w:rsid w:val="00C922DC"/>
    <w:rsid w:val="00C928C6"/>
    <w:rsid w:val="00C93B5A"/>
    <w:rsid w:val="00C94ADB"/>
    <w:rsid w:val="00C97803"/>
    <w:rsid w:val="00CA2659"/>
    <w:rsid w:val="00CB6C52"/>
    <w:rsid w:val="00CC0D18"/>
    <w:rsid w:val="00CC0F0B"/>
    <w:rsid w:val="00CC1116"/>
    <w:rsid w:val="00CD3DDA"/>
    <w:rsid w:val="00CE47D7"/>
    <w:rsid w:val="00CF17CF"/>
    <w:rsid w:val="00CF25F5"/>
    <w:rsid w:val="00CF487C"/>
    <w:rsid w:val="00CF5661"/>
    <w:rsid w:val="00CF569B"/>
    <w:rsid w:val="00D02EBD"/>
    <w:rsid w:val="00D10407"/>
    <w:rsid w:val="00D23691"/>
    <w:rsid w:val="00D27518"/>
    <w:rsid w:val="00D34895"/>
    <w:rsid w:val="00D42279"/>
    <w:rsid w:val="00D56DC3"/>
    <w:rsid w:val="00D66335"/>
    <w:rsid w:val="00D74EFB"/>
    <w:rsid w:val="00D80FFA"/>
    <w:rsid w:val="00D83DB4"/>
    <w:rsid w:val="00D863F6"/>
    <w:rsid w:val="00D86D13"/>
    <w:rsid w:val="00D9182C"/>
    <w:rsid w:val="00D9603B"/>
    <w:rsid w:val="00DA251D"/>
    <w:rsid w:val="00DA4C7A"/>
    <w:rsid w:val="00DC0E9A"/>
    <w:rsid w:val="00DC2911"/>
    <w:rsid w:val="00DC38CA"/>
    <w:rsid w:val="00DC72DD"/>
    <w:rsid w:val="00DD0977"/>
    <w:rsid w:val="00DD2E98"/>
    <w:rsid w:val="00DD6F73"/>
    <w:rsid w:val="00DE501C"/>
    <w:rsid w:val="00DE5475"/>
    <w:rsid w:val="00DF0EDF"/>
    <w:rsid w:val="00DF704F"/>
    <w:rsid w:val="00E06FEC"/>
    <w:rsid w:val="00E121D6"/>
    <w:rsid w:val="00E12769"/>
    <w:rsid w:val="00E16C1C"/>
    <w:rsid w:val="00E20157"/>
    <w:rsid w:val="00E36701"/>
    <w:rsid w:val="00E36E24"/>
    <w:rsid w:val="00E37573"/>
    <w:rsid w:val="00E42B27"/>
    <w:rsid w:val="00E446FB"/>
    <w:rsid w:val="00E50553"/>
    <w:rsid w:val="00E50E6D"/>
    <w:rsid w:val="00E5435B"/>
    <w:rsid w:val="00E80248"/>
    <w:rsid w:val="00E80BA1"/>
    <w:rsid w:val="00E92464"/>
    <w:rsid w:val="00E9341E"/>
    <w:rsid w:val="00EA04DB"/>
    <w:rsid w:val="00EA1EA1"/>
    <w:rsid w:val="00EA2012"/>
    <w:rsid w:val="00EB131A"/>
    <w:rsid w:val="00EB4A5A"/>
    <w:rsid w:val="00EB4D5C"/>
    <w:rsid w:val="00EC1CF6"/>
    <w:rsid w:val="00EE29B9"/>
    <w:rsid w:val="00EE47FB"/>
    <w:rsid w:val="00EE50DB"/>
    <w:rsid w:val="00EF46C2"/>
    <w:rsid w:val="00F0135D"/>
    <w:rsid w:val="00F03104"/>
    <w:rsid w:val="00F032C4"/>
    <w:rsid w:val="00F04148"/>
    <w:rsid w:val="00F054C6"/>
    <w:rsid w:val="00F06E9A"/>
    <w:rsid w:val="00F15858"/>
    <w:rsid w:val="00F178CD"/>
    <w:rsid w:val="00F247B7"/>
    <w:rsid w:val="00F258C8"/>
    <w:rsid w:val="00F33C23"/>
    <w:rsid w:val="00F340B6"/>
    <w:rsid w:val="00F34F7B"/>
    <w:rsid w:val="00F35A08"/>
    <w:rsid w:val="00F40BF9"/>
    <w:rsid w:val="00F4488F"/>
    <w:rsid w:val="00F46BA6"/>
    <w:rsid w:val="00F55418"/>
    <w:rsid w:val="00F62294"/>
    <w:rsid w:val="00F66B54"/>
    <w:rsid w:val="00F72B85"/>
    <w:rsid w:val="00F758D5"/>
    <w:rsid w:val="00F85DE7"/>
    <w:rsid w:val="00F940B7"/>
    <w:rsid w:val="00F97F46"/>
    <w:rsid w:val="00FA00C6"/>
    <w:rsid w:val="00FA16B6"/>
    <w:rsid w:val="00FA79BE"/>
    <w:rsid w:val="00FB0617"/>
    <w:rsid w:val="00FB4D9D"/>
    <w:rsid w:val="00FC54A0"/>
    <w:rsid w:val="00FC6180"/>
    <w:rsid w:val="00FD1BD9"/>
    <w:rsid w:val="00FD2BF7"/>
    <w:rsid w:val="00FD3162"/>
    <w:rsid w:val="00FD4FC9"/>
    <w:rsid w:val="00FF38A2"/>
    <w:rsid w:val="00FF7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055D"/>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45BBC"/>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
    <w:name w:val="Body Text"/>
    <w:basedOn w:val="Normal"/>
    <w:pPr>
      <w:jc w:val="both"/>
    </w:pPr>
  </w:style>
  <w:style w:type="paragraph" w:styleId="BodyTextIndent">
    <w:name w:val="Body Text Indent"/>
    <w:basedOn w:val="Normal"/>
    <w:pPr>
      <w:ind w:left="720"/>
    </w:pPr>
    <w:rPr>
      <w:i/>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rsid w:val="00567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uiPriority w:val="22"/>
    <w:qFormat/>
    <w:rsid w:val="00D23691"/>
    <w:rPr>
      <w:b/>
      <w:bCs/>
    </w:rPr>
  </w:style>
  <w:style w:type="character" w:customStyle="1" w:styleId="textsmaller1">
    <w:name w:val="textsmaller1"/>
    <w:rsid w:val="00D23691"/>
    <w:rPr>
      <w:sz w:val="15"/>
      <w:szCs w:val="15"/>
    </w:rPr>
  </w:style>
  <w:style w:type="paragraph" w:styleId="Revision">
    <w:name w:val="Revision"/>
    <w:hidden/>
    <w:uiPriority w:val="99"/>
    <w:semiHidden/>
    <w:rsid w:val="00D23691"/>
    <w:rPr>
      <w:sz w:val="24"/>
      <w:szCs w:val="24"/>
    </w:rPr>
  </w:style>
  <w:style w:type="character" w:customStyle="1" w:styleId="CommentTextChar">
    <w:name w:val="Comment Text Char"/>
    <w:basedOn w:val="DefaultParagraphFont"/>
    <w:link w:val="CommentText"/>
    <w:semiHidden/>
    <w:rsid w:val="006E3403"/>
  </w:style>
  <w:style w:type="character" w:customStyle="1" w:styleId="EndnoteTextChar">
    <w:name w:val="Endnote Text Char"/>
    <w:basedOn w:val="DefaultParagraphFont"/>
    <w:link w:val="EndnoteText"/>
    <w:semiHidden/>
    <w:rsid w:val="006E3403"/>
  </w:style>
  <w:style w:type="character" w:customStyle="1" w:styleId="Heading1Char">
    <w:name w:val="Heading 1 Char"/>
    <w:link w:val="Heading1"/>
    <w:locked/>
    <w:rsid w:val="001740FC"/>
    <w:rPr>
      <w:rFonts w:ascii="Arial" w:hAnsi="Arial" w:cs="Arial"/>
      <w:b/>
      <w:bCs/>
      <w:kern w:val="32"/>
      <w:sz w:val="32"/>
      <w:szCs w:val="32"/>
    </w:rPr>
  </w:style>
  <w:style w:type="character" w:customStyle="1" w:styleId="CaptionChar">
    <w:name w:val="Caption Char"/>
    <w:link w:val="Caption"/>
    <w:locked/>
    <w:rsid w:val="000C5B86"/>
    <w:rPr>
      <w:b/>
      <w:bCs/>
    </w:rPr>
  </w:style>
  <w:style w:type="character" w:customStyle="1" w:styleId="breadcrumbs">
    <w:name w:val="breadcrumbs"/>
    <w:rsid w:val="000C5B86"/>
  </w:style>
  <w:style w:type="character" w:customStyle="1" w:styleId="Heading2Char">
    <w:name w:val="Heading 2 Char"/>
    <w:link w:val="Heading2"/>
    <w:rsid w:val="00884FE6"/>
    <w:rPr>
      <w:rFonts w:ascii="Arial" w:hAnsi="Arial" w:cs="Arial"/>
      <w:b/>
      <w:bCs/>
      <w:i/>
      <w:iCs/>
      <w:sz w:val="28"/>
      <w:szCs w:val="28"/>
    </w:rPr>
  </w:style>
  <w:style w:type="table" w:customStyle="1" w:styleId="TableGrid1">
    <w:name w:val="Table Grid1"/>
    <w:basedOn w:val="TableNormal"/>
    <w:next w:val="TableGrid"/>
    <w:rsid w:val="002353D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055D"/>
    <w:rPr>
      <w:sz w:val="24"/>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45BBC"/>
    <w:pPr>
      <w:tabs>
        <w:tab w:val="right" w:leader="dot" w:pos="9350"/>
      </w:tabs>
    </w:pPr>
    <w:rPr>
      <w:bCs/>
      <w:noProof/>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
    <w:name w:val="Body Text"/>
    <w:basedOn w:val="Normal"/>
    <w:pPr>
      <w:jc w:val="both"/>
    </w:pPr>
  </w:style>
  <w:style w:type="paragraph" w:styleId="BodyTextIndent">
    <w:name w:val="Body Text Indent"/>
    <w:basedOn w:val="Normal"/>
    <w:pPr>
      <w:ind w:left="720"/>
    </w:pPr>
    <w:rPr>
      <w:i/>
    </w:r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rsid w:val="00567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Strong">
    <w:name w:val="Strong"/>
    <w:uiPriority w:val="22"/>
    <w:qFormat/>
    <w:rsid w:val="00D23691"/>
    <w:rPr>
      <w:b/>
      <w:bCs/>
    </w:rPr>
  </w:style>
  <w:style w:type="character" w:customStyle="1" w:styleId="textsmaller1">
    <w:name w:val="textsmaller1"/>
    <w:rsid w:val="00D23691"/>
    <w:rPr>
      <w:sz w:val="15"/>
      <w:szCs w:val="15"/>
    </w:rPr>
  </w:style>
  <w:style w:type="paragraph" w:styleId="Revision">
    <w:name w:val="Revision"/>
    <w:hidden/>
    <w:uiPriority w:val="99"/>
    <w:semiHidden/>
    <w:rsid w:val="00D23691"/>
    <w:rPr>
      <w:sz w:val="24"/>
      <w:szCs w:val="24"/>
    </w:rPr>
  </w:style>
  <w:style w:type="character" w:customStyle="1" w:styleId="CommentTextChar">
    <w:name w:val="Comment Text Char"/>
    <w:basedOn w:val="DefaultParagraphFont"/>
    <w:link w:val="CommentText"/>
    <w:semiHidden/>
    <w:rsid w:val="006E3403"/>
  </w:style>
  <w:style w:type="character" w:customStyle="1" w:styleId="EndnoteTextChar">
    <w:name w:val="Endnote Text Char"/>
    <w:basedOn w:val="DefaultParagraphFont"/>
    <w:link w:val="EndnoteText"/>
    <w:semiHidden/>
    <w:rsid w:val="006E3403"/>
  </w:style>
  <w:style w:type="character" w:customStyle="1" w:styleId="Heading1Char">
    <w:name w:val="Heading 1 Char"/>
    <w:link w:val="Heading1"/>
    <w:locked/>
    <w:rsid w:val="001740FC"/>
    <w:rPr>
      <w:rFonts w:ascii="Arial" w:hAnsi="Arial" w:cs="Arial"/>
      <w:b/>
      <w:bCs/>
      <w:kern w:val="32"/>
      <w:sz w:val="32"/>
      <w:szCs w:val="32"/>
    </w:rPr>
  </w:style>
  <w:style w:type="character" w:customStyle="1" w:styleId="CaptionChar">
    <w:name w:val="Caption Char"/>
    <w:link w:val="Caption"/>
    <w:locked/>
    <w:rsid w:val="000C5B86"/>
    <w:rPr>
      <w:b/>
      <w:bCs/>
    </w:rPr>
  </w:style>
  <w:style w:type="character" w:customStyle="1" w:styleId="breadcrumbs">
    <w:name w:val="breadcrumbs"/>
    <w:rsid w:val="000C5B86"/>
  </w:style>
  <w:style w:type="character" w:customStyle="1" w:styleId="Heading2Char">
    <w:name w:val="Heading 2 Char"/>
    <w:link w:val="Heading2"/>
    <w:rsid w:val="00884FE6"/>
    <w:rPr>
      <w:rFonts w:ascii="Arial" w:hAnsi="Arial" w:cs="Arial"/>
      <w:b/>
      <w:bCs/>
      <w:i/>
      <w:iCs/>
      <w:sz w:val="28"/>
      <w:szCs w:val="28"/>
    </w:rPr>
  </w:style>
  <w:style w:type="table" w:customStyle="1" w:styleId="TableGrid1">
    <w:name w:val="Table Grid1"/>
    <w:basedOn w:val="TableNormal"/>
    <w:next w:val="TableGrid"/>
    <w:rsid w:val="002353D5"/>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00303">
      <w:bodyDiv w:val="1"/>
      <w:marLeft w:val="0"/>
      <w:marRight w:val="0"/>
      <w:marTop w:val="0"/>
      <w:marBottom w:val="0"/>
      <w:divBdr>
        <w:top w:val="none" w:sz="0" w:space="0" w:color="auto"/>
        <w:left w:val="none" w:sz="0" w:space="0" w:color="auto"/>
        <w:bottom w:val="none" w:sz="0" w:space="0" w:color="auto"/>
        <w:right w:val="none" w:sz="0" w:space="0" w:color="auto"/>
      </w:divBdr>
    </w:div>
    <w:div w:id="301079370">
      <w:bodyDiv w:val="1"/>
      <w:marLeft w:val="0"/>
      <w:marRight w:val="0"/>
      <w:marTop w:val="0"/>
      <w:marBottom w:val="0"/>
      <w:divBdr>
        <w:top w:val="none" w:sz="0" w:space="0" w:color="auto"/>
        <w:left w:val="none" w:sz="0" w:space="0" w:color="auto"/>
        <w:bottom w:val="none" w:sz="0" w:space="0" w:color="auto"/>
        <w:right w:val="none" w:sz="0" w:space="0" w:color="auto"/>
      </w:divBdr>
      <w:divsChild>
        <w:div w:id="672336657">
          <w:marLeft w:val="0"/>
          <w:marRight w:val="0"/>
          <w:marTop w:val="0"/>
          <w:marBottom w:val="0"/>
          <w:divBdr>
            <w:top w:val="none" w:sz="0" w:space="0" w:color="auto"/>
            <w:left w:val="none" w:sz="0" w:space="0" w:color="auto"/>
            <w:bottom w:val="none" w:sz="0" w:space="0" w:color="auto"/>
            <w:right w:val="none" w:sz="0" w:space="0" w:color="auto"/>
          </w:divBdr>
          <w:divsChild>
            <w:div w:id="1415518227">
              <w:marLeft w:val="0"/>
              <w:marRight w:val="0"/>
              <w:marTop w:val="0"/>
              <w:marBottom w:val="0"/>
              <w:divBdr>
                <w:top w:val="none" w:sz="0" w:space="0" w:color="auto"/>
                <w:left w:val="none" w:sz="0" w:space="0" w:color="auto"/>
                <w:bottom w:val="none" w:sz="0" w:space="0" w:color="auto"/>
                <w:right w:val="none" w:sz="0" w:space="0" w:color="auto"/>
              </w:divBdr>
              <w:divsChild>
                <w:div w:id="912008907">
                  <w:marLeft w:val="0"/>
                  <w:marRight w:val="0"/>
                  <w:marTop w:val="0"/>
                  <w:marBottom w:val="0"/>
                  <w:divBdr>
                    <w:top w:val="none" w:sz="0" w:space="0" w:color="auto"/>
                    <w:left w:val="none" w:sz="0" w:space="0" w:color="auto"/>
                    <w:bottom w:val="none" w:sz="0" w:space="0" w:color="auto"/>
                    <w:right w:val="none" w:sz="0" w:space="0" w:color="auto"/>
                  </w:divBdr>
                  <w:divsChild>
                    <w:div w:id="702555223">
                      <w:marLeft w:val="0"/>
                      <w:marRight w:val="0"/>
                      <w:marTop w:val="0"/>
                      <w:marBottom w:val="0"/>
                      <w:divBdr>
                        <w:top w:val="none" w:sz="0" w:space="0" w:color="auto"/>
                        <w:left w:val="none" w:sz="0" w:space="0" w:color="auto"/>
                        <w:bottom w:val="none" w:sz="0" w:space="0" w:color="auto"/>
                        <w:right w:val="none" w:sz="0" w:space="0" w:color="auto"/>
                      </w:divBdr>
                      <w:divsChild>
                        <w:div w:id="232353998">
                          <w:marLeft w:val="0"/>
                          <w:marRight w:val="0"/>
                          <w:marTop w:val="0"/>
                          <w:marBottom w:val="0"/>
                          <w:divBdr>
                            <w:top w:val="none" w:sz="0" w:space="0" w:color="auto"/>
                            <w:left w:val="none" w:sz="0" w:space="0" w:color="auto"/>
                            <w:bottom w:val="none" w:sz="0" w:space="0" w:color="auto"/>
                            <w:right w:val="none" w:sz="0" w:space="0" w:color="auto"/>
                          </w:divBdr>
                          <w:divsChild>
                            <w:div w:id="205917892">
                              <w:marLeft w:val="0"/>
                              <w:marRight w:val="0"/>
                              <w:marTop w:val="0"/>
                              <w:marBottom w:val="0"/>
                              <w:divBdr>
                                <w:top w:val="none" w:sz="0" w:space="0" w:color="auto"/>
                                <w:left w:val="none" w:sz="0" w:space="0" w:color="auto"/>
                                <w:bottom w:val="none" w:sz="0" w:space="0" w:color="auto"/>
                                <w:right w:val="none" w:sz="0" w:space="0" w:color="auto"/>
                              </w:divBdr>
                              <w:divsChild>
                                <w:div w:id="1924417081">
                                  <w:marLeft w:val="0"/>
                                  <w:marRight w:val="0"/>
                                  <w:marTop w:val="0"/>
                                  <w:marBottom w:val="0"/>
                                  <w:divBdr>
                                    <w:top w:val="none" w:sz="0" w:space="0" w:color="auto"/>
                                    <w:left w:val="none" w:sz="0" w:space="0" w:color="auto"/>
                                    <w:bottom w:val="none" w:sz="0" w:space="0" w:color="auto"/>
                                    <w:right w:val="none" w:sz="0" w:space="0" w:color="auto"/>
                                  </w:divBdr>
                                  <w:divsChild>
                                    <w:div w:id="354356181">
                                      <w:marLeft w:val="0"/>
                                      <w:marRight w:val="0"/>
                                      <w:marTop w:val="0"/>
                                      <w:marBottom w:val="0"/>
                                      <w:divBdr>
                                        <w:top w:val="none" w:sz="0" w:space="0" w:color="auto"/>
                                        <w:left w:val="none" w:sz="0" w:space="0" w:color="auto"/>
                                        <w:bottom w:val="none" w:sz="0" w:space="0" w:color="auto"/>
                                        <w:right w:val="none" w:sz="0" w:space="0" w:color="auto"/>
                                      </w:divBdr>
                                      <w:divsChild>
                                        <w:div w:id="188034572">
                                          <w:marLeft w:val="0"/>
                                          <w:marRight w:val="0"/>
                                          <w:marTop w:val="0"/>
                                          <w:marBottom w:val="0"/>
                                          <w:divBdr>
                                            <w:top w:val="none" w:sz="0" w:space="0" w:color="auto"/>
                                            <w:left w:val="none" w:sz="0" w:space="0" w:color="auto"/>
                                            <w:bottom w:val="none" w:sz="0" w:space="0" w:color="auto"/>
                                            <w:right w:val="none" w:sz="0" w:space="0" w:color="auto"/>
                                          </w:divBdr>
                                          <w:divsChild>
                                            <w:div w:id="372265483">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8385709">
      <w:bodyDiv w:val="1"/>
      <w:marLeft w:val="0"/>
      <w:marRight w:val="0"/>
      <w:marTop w:val="0"/>
      <w:marBottom w:val="0"/>
      <w:divBdr>
        <w:top w:val="none" w:sz="0" w:space="0" w:color="auto"/>
        <w:left w:val="none" w:sz="0" w:space="0" w:color="auto"/>
        <w:bottom w:val="none" w:sz="0" w:space="0" w:color="auto"/>
        <w:right w:val="none" w:sz="0" w:space="0" w:color="auto"/>
      </w:divBdr>
    </w:div>
    <w:div w:id="421802298">
      <w:bodyDiv w:val="1"/>
      <w:marLeft w:val="0"/>
      <w:marRight w:val="0"/>
      <w:marTop w:val="0"/>
      <w:marBottom w:val="0"/>
      <w:divBdr>
        <w:top w:val="none" w:sz="0" w:space="0" w:color="auto"/>
        <w:left w:val="none" w:sz="0" w:space="0" w:color="auto"/>
        <w:bottom w:val="none" w:sz="0" w:space="0" w:color="auto"/>
        <w:right w:val="none" w:sz="0" w:space="0" w:color="auto"/>
      </w:divBdr>
    </w:div>
    <w:div w:id="2103404336">
      <w:bodyDiv w:val="1"/>
      <w:marLeft w:val="0"/>
      <w:marRight w:val="0"/>
      <w:marTop w:val="0"/>
      <w:marBottom w:val="0"/>
      <w:divBdr>
        <w:top w:val="none" w:sz="0" w:space="0" w:color="auto"/>
        <w:left w:val="none" w:sz="0" w:space="0" w:color="auto"/>
        <w:bottom w:val="none" w:sz="0" w:space="0" w:color="auto"/>
        <w:right w:val="none" w:sz="0" w:space="0" w:color="auto"/>
      </w:divBdr>
      <w:divsChild>
        <w:div w:id="9730958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oleObject" Target="embeddings/oleObject2.bin"/><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3.wmf"/><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www.deeresources.com"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B32EE4-351D-4804-A30F-F03EC14FB230}"/>
</file>

<file path=customXml/itemProps2.xml><?xml version="1.0" encoding="utf-8"?>
<ds:datastoreItem xmlns:ds="http://schemas.openxmlformats.org/officeDocument/2006/customXml" ds:itemID="{D2F48B9C-B2B4-4854-8AAA-7CD8BD69D97A}"/>
</file>

<file path=customXml/itemProps3.xml><?xml version="1.0" encoding="utf-8"?>
<ds:datastoreItem xmlns:ds="http://schemas.openxmlformats.org/officeDocument/2006/customXml" ds:itemID="{76124413-1EDE-4409-B9B0-B209DDAB3231}"/>
</file>

<file path=customXml/itemProps4.xml><?xml version="1.0" encoding="utf-8"?>
<ds:datastoreItem xmlns:ds="http://schemas.openxmlformats.org/officeDocument/2006/customXml" ds:itemID="{CAFD2DD7-C6D5-4CCC-B776-7A17444BF927}"/>
</file>

<file path=docProps/app.xml><?xml version="1.0" encoding="utf-8"?>
<Properties xmlns="http://schemas.openxmlformats.org/officeDocument/2006/extended-properties" xmlns:vt="http://schemas.openxmlformats.org/officeDocument/2006/docPropsVTypes">
  <Template>SCE Work Paper Template - Final.dot</Template>
  <TotalTime>473</TotalTime>
  <Pages>16</Pages>
  <Words>3636</Words>
  <Characters>22791</Characters>
  <Application>Microsoft Office Word</Application>
  <DocSecurity>0</DocSecurity>
  <Lines>189</Lines>
  <Paragraphs>52</Paragraphs>
  <ScaleCrop>false</ScaleCrop>
  <HeadingPairs>
    <vt:vector size="2" baseType="variant">
      <vt:variant>
        <vt:lpstr>Title</vt:lpstr>
      </vt:variant>
      <vt:variant>
        <vt:i4>1</vt:i4>
      </vt:variant>
    </vt:vector>
  </HeadingPairs>
  <TitlesOfParts>
    <vt:vector size="1" baseType="lpstr">
      <vt:lpstr/>
    </vt:vector>
  </TitlesOfParts>
  <Company>Pacific Gas and Electric</Company>
  <LinksUpToDate>false</LinksUpToDate>
  <CharactersWithSpaces>26375</CharactersWithSpaces>
  <SharedDoc>false</SharedDoc>
  <HLinks>
    <vt:vector size="204" baseType="variant">
      <vt:variant>
        <vt:i4>5832799</vt:i4>
      </vt:variant>
      <vt:variant>
        <vt:i4>189</vt:i4>
      </vt:variant>
      <vt:variant>
        <vt:i4>0</vt:i4>
      </vt:variant>
      <vt:variant>
        <vt:i4>5</vt:i4>
      </vt:variant>
      <vt:variant>
        <vt:lpwstr>http://www.deeresources.com/</vt:lpwstr>
      </vt:variant>
      <vt:variant>
        <vt:lpwstr/>
      </vt:variant>
      <vt:variant>
        <vt:i4>1114160</vt:i4>
      </vt:variant>
      <vt:variant>
        <vt:i4>182</vt:i4>
      </vt:variant>
      <vt:variant>
        <vt:i4>0</vt:i4>
      </vt:variant>
      <vt:variant>
        <vt:i4>5</vt:i4>
      </vt:variant>
      <vt:variant>
        <vt:lpwstr/>
      </vt:variant>
      <vt:variant>
        <vt:lpwstr>_Toc334012670</vt:lpwstr>
      </vt:variant>
      <vt:variant>
        <vt:i4>1179711</vt:i4>
      </vt:variant>
      <vt:variant>
        <vt:i4>173</vt:i4>
      </vt:variant>
      <vt:variant>
        <vt:i4>0</vt:i4>
      </vt:variant>
      <vt:variant>
        <vt:i4>5</vt:i4>
      </vt:variant>
      <vt:variant>
        <vt:lpwstr/>
      </vt:variant>
      <vt:variant>
        <vt:lpwstr>_Toc389469308</vt:lpwstr>
      </vt:variant>
      <vt:variant>
        <vt:i4>1179711</vt:i4>
      </vt:variant>
      <vt:variant>
        <vt:i4>167</vt:i4>
      </vt:variant>
      <vt:variant>
        <vt:i4>0</vt:i4>
      </vt:variant>
      <vt:variant>
        <vt:i4>5</vt:i4>
      </vt:variant>
      <vt:variant>
        <vt:lpwstr/>
      </vt:variant>
      <vt:variant>
        <vt:lpwstr>_Toc389469307</vt:lpwstr>
      </vt:variant>
      <vt:variant>
        <vt:i4>1179711</vt:i4>
      </vt:variant>
      <vt:variant>
        <vt:i4>158</vt:i4>
      </vt:variant>
      <vt:variant>
        <vt:i4>0</vt:i4>
      </vt:variant>
      <vt:variant>
        <vt:i4>5</vt:i4>
      </vt:variant>
      <vt:variant>
        <vt:lpwstr/>
      </vt:variant>
      <vt:variant>
        <vt:lpwstr>_Toc389469302</vt:lpwstr>
      </vt:variant>
      <vt:variant>
        <vt:i4>1179711</vt:i4>
      </vt:variant>
      <vt:variant>
        <vt:i4>152</vt:i4>
      </vt:variant>
      <vt:variant>
        <vt:i4>0</vt:i4>
      </vt:variant>
      <vt:variant>
        <vt:i4>5</vt:i4>
      </vt:variant>
      <vt:variant>
        <vt:lpwstr/>
      </vt:variant>
      <vt:variant>
        <vt:lpwstr>_Toc389469301</vt:lpwstr>
      </vt:variant>
      <vt:variant>
        <vt:i4>1179711</vt:i4>
      </vt:variant>
      <vt:variant>
        <vt:i4>146</vt:i4>
      </vt:variant>
      <vt:variant>
        <vt:i4>0</vt:i4>
      </vt:variant>
      <vt:variant>
        <vt:i4>5</vt:i4>
      </vt:variant>
      <vt:variant>
        <vt:lpwstr/>
      </vt:variant>
      <vt:variant>
        <vt:lpwstr>_Toc389469300</vt:lpwstr>
      </vt:variant>
      <vt:variant>
        <vt:i4>1769534</vt:i4>
      </vt:variant>
      <vt:variant>
        <vt:i4>140</vt:i4>
      </vt:variant>
      <vt:variant>
        <vt:i4>0</vt:i4>
      </vt:variant>
      <vt:variant>
        <vt:i4>5</vt:i4>
      </vt:variant>
      <vt:variant>
        <vt:lpwstr/>
      </vt:variant>
      <vt:variant>
        <vt:lpwstr>_Toc389469299</vt:lpwstr>
      </vt:variant>
      <vt:variant>
        <vt:i4>1769534</vt:i4>
      </vt:variant>
      <vt:variant>
        <vt:i4>134</vt:i4>
      </vt:variant>
      <vt:variant>
        <vt:i4>0</vt:i4>
      </vt:variant>
      <vt:variant>
        <vt:i4>5</vt:i4>
      </vt:variant>
      <vt:variant>
        <vt:lpwstr/>
      </vt:variant>
      <vt:variant>
        <vt:lpwstr>_Toc389469298</vt:lpwstr>
      </vt:variant>
      <vt:variant>
        <vt:i4>1769534</vt:i4>
      </vt:variant>
      <vt:variant>
        <vt:i4>128</vt:i4>
      </vt:variant>
      <vt:variant>
        <vt:i4>0</vt:i4>
      </vt:variant>
      <vt:variant>
        <vt:i4>5</vt:i4>
      </vt:variant>
      <vt:variant>
        <vt:lpwstr/>
      </vt:variant>
      <vt:variant>
        <vt:lpwstr>_Toc389469297</vt:lpwstr>
      </vt:variant>
      <vt:variant>
        <vt:i4>1769534</vt:i4>
      </vt:variant>
      <vt:variant>
        <vt:i4>122</vt:i4>
      </vt:variant>
      <vt:variant>
        <vt:i4>0</vt:i4>
      </vt:variant>
      <vt:variant>
        <vt:i4>5</vt:i4>
      </vt:variant>
      <vt:variant>
        <vt:lpwstr/>
      </vt:variant>
      <vt:variant>
        <vt:lpwstr>_Toc389469296</vt:lpwstr>
      </vt:variant>
      <vt:variant>
        <vt:i4>1769534</vt:i4>
      </vt:variant>
      <vt:variant>
        <vt:i4>116</vt:i4>
      </vt:variant>
      <vt:variant>
        <vt:i4>0</vt:i4>
      </vt:variant>
      <vt:variant>
        <vt:i4>5</vt:i4>
      </vt:variant>
      <vt:variant>
        <vt:lpwstr/>
      </vt:variant>
      <vt:variant>
        <vt:lpwstr>_Toc389469295</vt:lpwstr>
      </vt:variant>
      <vt:variant>
        <vt:i4>1769534</vt:i4>
      </vt:variant>
      <vt:variant>
        <vt:i4>110</vt:i4>
      </vt:variant>
      <vt:variant>
        <vt:i4>0</vt:i4>
      </vt:variant>
      <vt:variant>
        <vt:i4>5</vt:i4>
      </vt:variant>
      <vt:variant>
        <vt:lpwstr/>
      </vt:variant>
      <vt:variant>
        <vt:lpwstr>_Toc389469294</vt:lpwstr>
      </vt:variant>
      <vt:variant>
        <vt:i4>1769534</vt:i4>
      </vt:variant>
      <vt:variant>
        <vt:i4>104</vt:i4>
      </vt:variant>
      <vt:variant>
        <vt:i4>0</vt:i4>
      </vt:variant>
      <vt:variant>
        <vt:i4>5</vt:i4>
      </vt:variant>
      <vt:variant>
        <vt:lpwstr/>
      </vt:variant>
      <vt:variant>
        <vt:lpwstr>_Toc389469293</vt:lpwstr>
      </vt:variant>
      <vt:variant>
        <vt:i4>1769534</vt:i4>
      </vt:variant>
      <vt:variant>
        <vt:i4>98</vt:i4>
      </vt:variant>
      <vt:variant>
        <vt:i4>0</vt:i4>
      </vt:variant>
      <vt:variant>
        <vt:i4>5</vt:i4>
      </vt:variant>
      <vt:variant>
        <vt:lpwstr/>
      </vt:variant>
      <vt:variant>
        <vt:lpwstr>_Toc389469292</vt:lpwstr>
      </vt:variant>
      <vt:variant>
        <vt:i4>1769534</vt:i4>
      </vt:variant>
      <vt:variant>
        <vt:i4>92</vt:i4>
      </vt:variant>
      <vt:variant>
        <vt:i4>0</vt:i4>
      </vt:variant>
      <vt:variant>
        <vt:i4>5</vt:i4>
      </vt:variant>
      <vt:variant>
        <vt:lpwstr/>
      </vt:variant>
      <vt:variant>
        <vt:lpwstr>_Toc389469291</vt:lpwstr>
      </vt:variant>
      <vt:variant>
        <vt:i4>1769534</vt:i4>
      </vt:variant>
      <vt:variant>
        <vt:i4>86</vt:i4>
      </vt:variant>
      <vt:variant>
        <vt:i4>0</vt:i4>
      </vt:variant>
      <vt:variant>
        <vt:i4>5</vt:i4>
      </vt:variant>
      <vt:variant>
        <vt:lpwstr/>
      </vt:variant>
      <vt:variant>
        <vt:lpwstr>_Toc389469290</vt:lpwstr>
      </vt:variant>
      <vt:variant>
        <vt:i4>1703998</vt:i4>
      </vt:variant>
      <vt:variant>
        <vt:i4>80</vt:i4>
      </vt:variant>
      <vt:variant>
        <vt:i4>0</vt:i4>
      </vt:variant>
      <vt:variant>
        <vt:i4>5</vt:i4>
      </vt:variant>
      <vt:variant>
        <vt:lpwstr/>
      </vt:variant>
      <vt:variant>
        <vt:lpwstr>_Toc389469288</vt:lpwstr>
      </vt:variant>
      <vt:variant>
        <vt:i4>1703998</vt:i4>
      </vt:variant>
      <vt:variant>
        <vt:i4>74</vt:i4>
      </vt:variant>
      <vt:variant>
        <vt:i4>0</vt:i4>
      </vt:variant>
      <vt:variant>
        <vt:i4>5</vt:i4>
      </vt:variant>
      <vt:variant>
        <vt:lpwstr/>
      </vt:variant>
      <vt:variant>
        <vt:lpwstr>_Toc389469287</vt:lpwstr>
      </vt:variant>
      <vt:variant>
        <vt:i4>1703998</vt:i4>
      </vt:variant>
      <vt:variant>
        <vt:i4>68</vt:i4>
      </vt:variant>
      <vt:variant>
        <vt:i4>0</vt:i4>
      </vt:variant>
      <vt:variant>
        <vt:i4>5</vt:i4>
      </vt:variant>
      <vt:variant>
        <vt:lpwstr/>
      </vt:variant>
      <vt:variant>
        <vt:lpwstr>_Toc389469286</vt:lpwstr>
      </vt:variant>
      <vt:variant>
        <vt:i4>1703998</vt:i4>
      </vt:variant>
      <vt:variant>
        <vt:i4>62</vt:i4>
      </vt:variant>
      <vt:variant>
        <vt:i4>0</vt:i4>
      </vt:variant>
      <vt:variant>
        <vt:i4>5</vt:i4>
      </vt:variant>
      <vt:variant>
        <vt:lpwstr/>
      </vt:variant>
      <vt:variant>
        <vt:lpwstr>_Toc389469285</vt:lpwstr>
      </vt:variant>
      <vt:variant>
        <vt:i4>1703998</vt:i4>
      </vt:variant>
      <vt:variant>
        <vt:i4>56</vt:i4>
      </vt:variant>
      <vt:variant>
        <vt:i4>0</vt:i4>
      </vt:variant>
      <vt:variant>
        <vt:i4>5</vt:i4>
      </vt:variant>
      <vt:variant>
        <vt:lpwstr/>
      </vt:variant>
      <vt:variant>
        <vt:lpwstr>_Toc389469284</vt:lpwstr>
      </vt:variant>
      <vt:variant>
        <vt:i4>1703998</vt:i4>
      </vt:variant>
      <vt:variant>
        <vt:i4>50</vt:i4>
      </vt:variant>
      <vt:variant>
        <vt:i4>0</vt:i4>
      </vt:variant>
      <vt:variant>
        <vt:i4>5</vt:i4>
      </vt:variant>
      <vt:variant>
        <vt:lpwstr/>
      </vt:variant>
      <vt:variant>
        <vt:lpwstr>_Toc389469283</vt:lpwstr>
      </vt:variant>
      <vt:variant>
        <vt:i4>1703998</vt:i4>
      </vt:variant>
      <vt:variant>
        <vt:i4>44</vt:i4>
      </vt:variant>
      <vt:variant>
        <vt:i4>0</vt:i4>
      </vt:variant>
      <vt:variant>
        <vt:i4>5</vt:i4>
      </vt:variant>
      <vt:variant>
        <vt:lpwstr/>
      </vt:variant>
      <vt:variant>
        <vt:lpwstr>_Toc389469282</vt:lpwstr>
      </vt:variant>
      <vt:variant>
        <vt:i4>1703998</vt:i4>
      </vt:variant>
      <vt:variant>
        <vt:i4>38</vt:i4>
      </vt:variant>
      <vt:variant>
        <vt:i4>0</vt:i4>
      </vt:variant>
      <vt:variant>
        <vt:i4>5</vt:i4>
      </vt:variant>
      <vt:variant>
        <vt:lpwstr/>
      </vt:variant>
      <vt:variant>
        <vt:lpwstr>_Toc389469281</vt:lpwstr>
      </vt:variant>
      <vt:variant>
        <vt:i4>1703998</vt:i4>
      </vt:variant>
      <vt:variant>
        <vt:i4>32</vt:i4>
      </vt:variant>
      <vt:variant>
        <vt:i4>0</vt:i4>
      </vt:variant>
      <vt:variant>
        <vt:i4>5</vt:i4>
      </vt:variant>
      <vt:variant>
        <vt:lpwstr/>
      </vt:variant>
      <vt:variant>
        <vt:lpwstr>_Toc389469280</vt:lpwstr>
      </vt:variant>
      <vt:variant>
        <vt:i4>1376318</vt:i4>
      </vt:variant>
      <vt:variant>
        <vt:i4>26</vt:i4>
      </vt:variant>
      <vt:variant>
        <vt:i4>0</vt:i4>
      </vt:variant>
      <vt:variant>
        <vt:i4>5</vt:i4>
      </vt:variant>
      <vt:variant>
        <vt:lpwstr/>
      </vt:variant>
      <vt:variant>
        <vt:lpwstr>_Toc389469279</vt:lpwstr>
      </vt:variant>
      <vt:variant>
        <vt:i4>1376318</vt:i4>
      </vt:variant>
      <vt:variant>
        <vt:i4>20</vt:i4>
      </vt:variant>
      <vt:variant>
        <vt:i4>0</vt:i4>
      </vt:variant>
      <vt:variant>
        <vt:i4>5</vt:i4>
      </vt:variant>
      <vt:variant>
        <vt:lpwstr/>
      </vt:variant>
      <vt:variant>
        <vt:lpwstr>_Toc389469278</vt:lpwstr>
      </vt:variant>
      <vt:variant>
        <vt:i4>1376318</vt:i4>
      </vt:variant>
      <vt:variant>
        <vt:i4>14</vt:i4>
      </vt:variant>
      <vt:variant>
        <vt:i4>0</vt:i4>
      </vt:variant>
      <vt:variant>
        <vt:i4>5</vt:i4>
      </vt:variant>
      <vt:variant>
        <vt:lpwstr/>
      </vt:variant>
      <vt:variant>
        <vt:lpwstr>_Toc389469277</vt:lpwstr>
      </vt:variant>
      <vt:variant>
        <vt:i4>1376318</vt:i4>
      </vt:variant>
      <vt:variant>
        <vt:i4>8</vt:i4>
      </vt:variant>
      <vt:variant>
        <vt:i4>0</vt:i4>
      </vt:variant>
      <vt:variant>
        <vt:i4>5</vt:i4>
      </vt:variant>
      <vt:variant>
        <vt:lpwstr/>
      </vt:variant>
      <vt:variant>
        <vt:lpwstr>_Toc389469276</vt:lpwstr>
      </vt:variant>
      <vt:variant>
        <vt:i4>1376318</vt:i4>
      </vt:variant>
      <vt:variant>
        <vt:i4>2</vt:i4>
      </vt:variant>
      <vt:variant>
        <vt:i4>0</vt:i4>
      </vt:variant>
      <vt:variant>
        <vt:i4>5</vt:i4>
      </vt:variant>
      <vt:variant>
        <vt:lpwstr/>
      </vt:variant>
      <vt:variant>
        <vt:lpwstr>_Toc389469275</vt:lpwstr>
      </vt:variant>
      <vt:variant>
        <vt:i4>4128875</vt:i4>
      </vt:variant>
      <vt:variant>
        <vt:i4>6</vt:i4>
      </vt:variant>
      <vt:variant>
        <vt:i4>0</vt:i4>
      </vt:variant>
      <vt:variant>
        <vt:i4>5</vt:i4>
      </vt:variant>
      <vt:variant>
        <vt:lpwstr>http://deeresources.com/files/DEER2011/download/DEER2011_NTGR_2012-05-16.xls</vt:lpwstr>
      </vt:variant>
      <vt:variant>
        <vt:lpwstr/>
      </vt:variant>
      <vt:variant>
        <vt:i4>4128875</vt:i4>
      </vt:variant>
      <vt:variant>
        <vt:i4>3</vt:i4>
      </vt:variant>
      <vt:variant>
        <vt:i4>0</vt:i4>
      </vt:variant>
      <vt:variant>
        <vt:i4>5</vt:i4>
      </vt:variant>
      <vt:variant>
        <vt:lpwstr>http://deeresources.com/files/DEER2011/download/DEER2011_NTGR_2012-05-16.xls</vt:lpwstr>
      </vt:variant>
      <vt:variant>
        <vt:lpwstr/>
      </vt:variant>
      <vt:variant>
        <vt:i4>5832799</vt:i4>
      </vt:variant>
      <vt:variant>
        <vt:i4>0</vt:i4>
      </vt:variant>
      <vt:variant>
        <vt:i4>0</vt:i4>
      </vt:variant>
      <vt:variant>
        <vt:i4>5</vt:i4>
      </vt:variant>
      <vt:variant>
        <vt:lpwstr>http://www.deeresources.com/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Wyatt, Jim</dc:creator>
  <cp:keywords/>
  <cp:lastModifiedBy>Wan, Linda</cp:lastModifiedBy>
  <cp:revision>15</cp:revision>
  <cp:lastPrinted>2015-10-27T16:39:00Z</cp:lastPrinted>
  <dcterms:created xsi:type="dcterms:W3CDTF">2015-10-16T17:35:00Z</dcterms:created>
  <dcterms:modified xsi:type="dcterms:W3CDTF">2015-12-22T23:29:00Z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0x010100E20EA4F4CB40DD419C6CAF9467FB7C04</vt:lpwstr>
  </property>
</Properties>
</file>